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742E" w:rsidRPr="00B6742E" w:rsidTr="00B6742E">
        <w:trPr>
          <w:trHeight w:val="2956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2E" w:rsidRPr="00B6742E" w:rsidRDefault="00B6742E" w:rsidP="00B6742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91"/>
                <w:sz w:val="36"/>
                <w:szCs w:val="36"/>
              </w:rPr>
            </w:pPr>
            <w:r w:rsidRPr="00B6742E">
              <w:rPr>
                <w:rFonts w:ascii="Cambria" w:eastAsia="Calibri" w:hAnsi="Cambria" w:cs="Calibri"/>
                <w:b/>
                <w:noProof/>
                <w:color w:val="000091"/>
                <w:sz w:val="36"/>
                <w:szCs w:val="36"/>
                <w:lang w:eastAsia="fr-FR"/>
              </w:rPr>
              <w:drawing>
                <wp:inline distT="0" distB="0" distL="0" distR="0" wp14:anchorId="55550527" wp14:editId="1421371F">
                  <wp:extent cx="5663134" cy="2838615"/>
                  <wp:effectExtent l="0" t="0" r="0" b="0"/>
                  <wp:docPr id="7" name="Image 3" descr="cid:image004.png@01D95E37.18EC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4.png@01D95E37.18ECB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628" cy="284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42E" w:rsidRPr="00B6742E" w:rsidRDefault="00B6742E" w:rsidP="00B6742E">
      <w:pPr>
        <w:spacing w:after="0" w:line="240" w:lineRule="auto"/>
        <w:rPr>
          <w:rFonts w:ascii="Cambria" w:eastAsia="Calibri" w:hAnsi="Cambria" w:cs="Calibri"/>
          <w:b/>
          <w:bCs/>
          <w:color w:val="000091"/>
          <w:sz w:val="36"/>
          <w:szCs w:val="36"/>
        </w:rPr>
      </w:pPr>
    </w:p>
    <w:tbl>
      <w:tblPr>
        <w:tblW w:w="9019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09"/>
        <w:gridCol w:w="8610"/>
      </w:tblGrid>
      <w:tr w:rsidR="00B6742E" w:rsidRPr="00B6742E" w:rsidTr="00B6742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2E" w:rsidRPr="00B6742E" w:rsidRDefault="00B6742E" w:rsidP="00B6742E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</w:pPr>
            <w:r w:rsidRPr="00B6742E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Lettre N° 5 – Mars 2024</w:t>
            </w:r>
            <w:bookmarkStart w:id="0" w:name="_GoBack"/>
            <w:bookmarkEnd w:id="0"/>
          </w:p>
          <w:p w:rsidR="00B6742E" w:rsidRPr="00B6742E" w:rsidRDefault="00B6742E" w:rsidP="00B6742E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Chaque trimestre, l’Agence régionale de santé et le Gérontopôle Auvergne-Rhône-Alpes </w:t>
            </w:r>
            <w:r w:rsidRPr="00B6742E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 xml:space="preserve">vous informent sur la déclinaison du Plan national antichute des personnes âgées </w:t>
            </w:r>
            <w:r w:rsidRPr="00B6742E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>de 65 ans et + dans notre région.</w:t>
            </w:r>
          </w:p>
        </w:tc>
      </w:tr>
      <w:tr w:rsidR="00B6742E" w:rsidRPr="00B6742E" w:rsidTr="00B6742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2E" w:rsidRPr="00B6742E" w:rsidRDefault="00B6742E" w:rsidP="00B6742E">
            <w:pPr>
              <w:spacing w:before="48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B6742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DÉVELOPPER DES ACTIONS DE PRÉVENTION EN EHPAD ET SSIAD : </w:t>
            </w:r>
            <w:r w:rsidRPr="00B6742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br/>
              <w:t xml:space="preserve">NOUVEL APPEL À CANDIDATURES </w:t>
            </w:r>
          </w:p>
        </w:tc>
      </w:tr>
      <w:tr w:rsidR="00B6742E" w:rsidRPr="00B6742E" w:rsidTr="00B6742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2E" w:rsidRPr="00B6742E" w:rsidRDefault="00B6742E" w:rsidP="00B6742E">
            <w:pPr>
              <w:spacing w:after="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</w:p>
        </w:tc>
      </w:tr>
      <w:tr w:rsidR="00B6742E" w:rsidRPr="00B6742E" w:rsidTr="00B6742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La prévention est un levier pour favoriser le maintien à domicile des personnes fragilisées, tout en évitant les chutes. Comme en 2023, l’ARS a donc lancé son appel à candidatures pour le développement d’actions de prévention portées par les EHPAD et les SSIAD de notre région.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Objectifs : </w:t>
            </w:r>
          </w:p>
          <w:p w:rsidR="00B6742E" w:rsidRPr="00B6742E" w:rsidRDefault="00B6742E" w:rsidP="00B6742E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>améliorer</w:t>
            </w:r>
            <w:proofErr w:type="gramEnd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le bien-être et le maintien de l’autonomie des personnes de plus de 65 ans à leur domicile, et des résidents d’établissements ;</w:t>
            </w:r>
          </w:p>
          <w:p w:rsidR="00B6742E" w:rsidRPr="00B6742E" w:rsidRDefault="00B6742E" w:rsidP="00B6742E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>prévenir</w:t>
            </w:r>
            <w:proofErr w:type="gramEnd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les chutes.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Ces actions devront être </w:t>
            </w:r>
            <w:r w:rsidRPr="00B6742E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collectives, partenariales, ouvrant l’EHPAD sur l’extérieur. 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Les projets présentés devront être portés en </w:t>
            </w:r>
            <w:r w:rsidRPr="00B6742E">
              <w:rPr>
                <w:rFonts w:ascii="Marianne" w:eastAsia="Calibri" w:hAnsi="Marianne" w:cs="Calibri"/>
                <w:b/>
                <w:sz w:val="19"/>
                <w:szCs w:val="19"/>
              </w:rPr>
              <w:t>mutualisation avec au moins 2 structures de proximité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(lieux d’accueil de personnes âgées, résidences autonomie, hôpitaux, CCAS, associations sportives, maisons de santé pluriprofessionnelles, Communautés professionnelles territoriales de santé (CPTS), services à domicile).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Les projets devront relever des </w:t>
            </w:r>
            <w:r w:rsidRPr="00B6742E">
              <w:rPr>
                <w:rFonts w:ascii="Marianne" w:eastAsia="Calibri" w:hAnsi="Marianne" w:cs="Calibri"/>
                <w:b/>
                <w:sz w:val="19"/>
                <w:szCs w:val="19"/>
              </w:rPr>
              <w:t>7 thématiques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concourant à la prévention des chutes graves et invalidantes ; celles-ci sont précisées dans le cahier des charges tout comme les modalités d’évaluation.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Calendrier :</w:t>
            </w:r>
          </w:p>
          <w:p w:rsidR="00B6742E" w:rsidRPr="00B6742E" w:rsidRDefault="00B6742E" w:rsidP="00B6742E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Dépôt des projets par les gestionnaires d’EHPAD et de SSIAD : jusqu’au 22 avril 2024.</w:t>
            </w:r>
          </w:p>
          <w:p w:rsidR="00B6742E" w:rsidRPr="00B6742E" w:rsidRDefault="00B6742E" w:rsidP="00B6742E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Sélection des projets : 19 juillet 2024.</w:t>
            </w:r>
          </w:p>
          <w:p w:rsidR="00B6742E" w:rsidRPr="00B6742E" w:rsidRDefault="00B6742E" w:rsidP="00B6742E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Mise en œuvre : 2024-2025</w:t>
            </w:r>
          </w:p>
          <w:p w:rsidR="00B6742E" w:rsidRPr="00B6742E" w:rsidRDefault="009C5068" w:rsidP="00B6742E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Calibri" w:eastAsia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571A2" wp14:editId="74693065">
                      <wp:simplePos x="0" y="0"/>
                      <wp:positionH relativeFrom="margin">
                        <wp:posOffset>973538</wp:posOffset>
                      </wp:positionH>
                      <wp:positionV relativeFrom="paragraph">
                        <wp:posOffset>209633</wp:posOffset>
                      </wp:positionV>
                      <wp:extent cx="3343275" cy="603885"/>
                      <wp:effectExtent l="0" t="0" r="28575" b="24765"/>
                      <wp:wrapNone/>
                      <wp:docPr id="2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FFF9"/>
                              </a:solidFill>
                              <a:ln w="6350">
                                <a:solidFill>
                                  <a:srgbClr val="5770BE">
                                    <a:lumMod val="40000"/>
                                    <a:lumOff val="6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B6742E" w:rsidRPr="00B6742E" w:rsidRDefault="00B6742E" w:rsidP="00B6742E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Marianne" w:hAnsi="Marianne"/>
                                      <w:b/>
                                      <w:noProof/>
                                      <w:color w:val="000091"/>
                                      <w:sz w:val="19"/>
                                      <w:szCs w:val="19"/>
                                      <w:lang w:eastAsia="fr-FR"/>
                                    </w:rPr>
                                  </w:pPr>
                                  <w:hyperlink r:id="rId6" w:history="1">
                                    <w:r w:rsidRPr="00B6742E">
                                      <w:rPr>
                                        <w:rStyle w:val="Lienhypertexte"/>
                                        <w:rFonts w:ascii="Marianne" w:hAnsi="Marianne"/>
                                        <w:b/>
                                        <w:color w:val="000091"/>
                                        <w:sz w:val="19"/>
                                        <w:szCs w:val="19"/>
                                        <w:lang w:eastAsia="fr-FR"/>
                                      </w:rPr>
                                      <w:t>Toutes les informations</w:t>
                                    </w:r>
                                    <w:r w:rsidRPr="00B6742E">
                                      <w:rPr>
                                        <w:rFonts w:ascii="Marianne" w:hAnsi="Marianne"/>
                                        <w:b/>
                                        <w:color w:val="000091"/>
                                        <w:sz w:val="19"/>
                                        <w:szCs w:val="19"/>
                                        <w:u w:val="single"/>
                                        <w:lang w:eastAsia="fr-FR"/>
                                      </w:rPr>
                                      <w:br/>
                                    </w:r>
                                    <w:r w:rsidRPr="00B6742E">
                                      <w:rPr>
                                        <w:rStyle w:val="Lienhypertexte"/>
                                        <w:rFonts w:ascii="Marianne" w:hAnsi="Marianne"/>
                                        <w:b/>
                                        <w:color w:val="000091"/>
                                        <w:sz w:val="19"/>
                                        <w:szCs w:val="19"/>
                                        <w:lang w:eastAsia="fr-FR"/>
                                      </w:rPr>
                                      <w:t>sur le site internet de l’ARS Auvergne-Rhône-Alpes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571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76.65pt;margin-top:16.5pt;width:263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" fillcolor="#ddfff9" strokecolor="#bcc6e5" strokeweight=".5pt">
                      <v:path arrowok="t"/>
                      <v:textbox>
                        <w:txbxContent>
                          <w:p w:rsidR="00B6742E" w:rsidRPr="00B6742E" w:rsidRDefault="00B6742E" w:rsidP="00B6742E">
                            <w:pPr>
                              <w:spacing w:before="120" w:after="120"/>
                              <w:jc w:val="center"/>
                              <w:rPr>
                                <w:rFonts w:ascii="Marianne" w:hAnsi="Marianne"/>
                                <w:b/>
                                <w:noProof/>
                                <w:color w:val="000091"/>
                                <w:sz w:val="19"/>
                                <w:szCs w:val="19"/>
                                <w:lang w:eastAsia="fr-FR"/>
                              </w:rPr>
                            </w:pPr>
                            <w:hyperlink r:id="rId7" w:history="1">
                              <w:r w:rsidRPr="00B6742E">
                                <w:rPr>
                                  <w:rStyle w:val="Lienhypertexte"/>
                                  <w:rFonts w:ascii="Marianne" w:hAnsi="Marianne"/>
                                  <w:b/>
                                  <w:color w:val="000091"/>
                                  <w:sz w:val="19"/>
                                  <w:szCs w:val="19"/>
                                  <w:lang w:eastAsia="fr-FR"/>
                                </w:rPr>
                                <w:t>Toutes les informations</w:t>
                              </w:r>
                              <w:r w:rsidRPr="00B6742E">
                                <w:rPr>
                                  <w:rFonts w:ascii="Marianne" w:hAnsi="Marianne"/>
                                  <w:b/>
                                  <w:color w:val="000091"/>
                                  <w:sz w:val="19"/>
                                  <w:szCs w:val="19"/>
                                  <w:u w:val="single"/>
                                  <w:lang w:eastAsia="fr-FR"/>
                                </w:rPr>
                                <w:br/>
                              </w:r>
                              <w:r w:rsidRPr="00B6742E">
                                <w:rPr>
                                  <w:rStyle w:val="Lienhypertexte"/>
                                  <w:rFonts w:ascii="Marianne" w:hAnsi="Marianne"/>
                                  <w:b/>
                                  <w:color w:val="000091"/>
                                  <w:sz w:val="19"/>
                                  <w:szCs w:val="19"/>
                                  <w:lang w:eastAsia="fr-FR"/>
                                </w:rPr>
                                <w:t>sur le site internet de l’ARS Auvergne-Rhône-Alpes</w:t>
                              </w:r>
                            </w:hyperlink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6742E" w:rsidRPr="00B6742E" w:rsidRDefault="00B6742E" w:rsidP="00B6742E">
            <w:pPr>
              <w:spacing w:before="60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B6742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PLAN ANTICHUTE : PERSPECTIVES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Le plan antichute des personnes âgées de 65 ans et plus est désormais quinquennal (2022-2026). Prochaines étapes :</w:t>
            </w:r>
          </w:p>
          <w:p w:rsidR="00B6742E" w:rsidRPr="00B6742E" w:rsidRDefault="00B6742E" w:rsidP="00B6742E">
            <w:pPr>
              <w:spacing w:before="120" w:after="0" w:line="240" w:lineRule="auto"/>
              <w:ind w:left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2022-2023 :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travail de recueil de données spécifiques en Auvergne-Rhône-Alpes. Un </w:t>
            </w:r>
            <w:r w:rsidRPr="00B6742E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diagnostic territorial 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mené par le Gérontopôle Auvergne-Rhône-Alpes a permis de mettre en lumière des actions pertinentes dans la région.</w:t>
            </w:r>
          </w:p>
          <w:p w:rsidR="00B6742E" w:rsidRPr="00B6742E" w:rsidRDefault="00B6742E" w:rsidP="00B6742E">
            <w:pPr>
              <w:spacing w:after="120" w:line="240" w:lineRule="auto"/>
              <w:ind w:left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La journée régionale du 17 octobre 2023 fut un </w:t>
            </w:r>
            <w:r w:rsidRPr="00B6742E">
              <w:rPr>
                <w:rFonts w:ascii="Marianne" w:eastAsia="Calibri" w:hAnsi="Marianne" w:cs="Calibri"/>
                <w:b/>
                <w:sz w:val="19"/>
                <w:szCs w:val="19"/>
              </w:rPr>
              <w:t>temps fort de rencontre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entre les différents professionnels de terrain et les instances. </w:t>
            </w:r>
          </w:p>
          <w:p w:rsidR="00B6742E" w:rsidRPr="00B6742E" w:rsidRDefault="00B6742E" w:rsidP="00B6742E">
            <w:pPr>
              <w:spacing w:before="120" w:after="0" w:line="240" w:lineRule="auto"/>
              <w:ind w:left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2024-2025 :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mise en place de nouveaux groupes de travail avec 3 nouveaux axes : l’ostéoporose, </w:t>
            </w:r>
            <w:proofErr w:type="gramStart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>la iatrogénie</w:t>
            </w:r>
            <w:proofErr w:type="gramEnd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médicamenteuse et le parcours du primo-chuteur. </w:t>
            </w:r>
          </w:p>
          <w:p w:rsidR="00B6742E" w:rsidRPr="00B6742E" w:rsidRDefault="00B6742E" w:rsidP="00B6742E">
            <w:pPr>
              <w:spacing w:after="120" w:line="240" w:lineRule="auto"/>
              <w:ind w:left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Des professionnels de terrain vont être associés à ces travaux qui seront lancés en avril 2024 par l’ARS avec le concours du Gérontopôle AURA.</w:t>
            </w:r>
          </w:p>
          <w:p w:rsidR="00B6742E" w:rsidRPr="00B6742E" w:rsidRDefault="00B6742E" w:rsidP="00B6742E">
            <w:pPr>
              <w:spacing w:before="360" w:after="120" w:line="240" w:lineRule="auto"/>
              <w:jc w:val="both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B6742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RESSOURCES 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b/>
                <w:color w:val="000091"/>
                <w:sz w:val="21"/>
                <w:szCs w:val="21"/>
              </w:rPr>
            </w:pPr>
            <w:r w:rsidRPr="00B6742E">
              <w:rPr>
                <w:rFonts w:ascii="Marianne" w:eastAsia="Calibri" w:hAnsi="Marianne" w:cs="Calibri"/>
                <w:b/>
                <w:color w:val="000091"/>
                <w:sz w:val="21"/>
                <w:szCs w:val="21"/>
              </w:rPr>
              <w:t>Nationales</w:t>
            </w:r>
          </w:p>
          <w:p w:rsidR="00B6742E" w:rsidRPr="00B6742E" w:rsidRDefault="00B6742E" w:rsidP="00B674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>Depuis le 1</w:t>
            </w:r>
            <w:r w:rsidRPr="00B6742E">
              <w:rPr>
                <w:rFonts w:ascii="Marianne" w:eastAsia="Calibri" w:hAnsi="Marianne" w:cs="Calibri"/>
                <w:sz w:val="19"/>
                <w:szCs w:val="19"/>
                <w:vertAlign w:val="superscript"/>
              </w:rPr>
              <w:t>er</w:t>
            </w: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janvier 2024, l’aide </w:t>
            </w:r>
            <w:hyperlink r:id="rId8" w:history="1">
              <w:proofErr w:type="spellStart"/>
              <w:r w:rsidRPr="00B6742E">
                <w:rPr>
                  <w:rFonts w:ascii="Marianne" w:eastAsia="Calibri" w:hAnsi="Marianne" w:cs="Calibri"/>
                  <w:color w:val="2323FF"/>
                  <w:sz w:val="19"/>
                  <w:szCs w:val="19"/>
                  <w:u w:val="single"/>
                </w:rPr>
                <w:t>MaPrimeAdapt</w:t>
              </w:r>
              <w:proofErr w:type="spellEnd"/>
              <w:r w:rsidRPr="00B6742E">
                <w:rPr>
                  <w:rFonts w:ascii="Marianne" w:eastAsia="Calibri" w:hAnsi="Marianne" w:cs="Calibri"/>
                  <w:color w:val="2323FF"/>
                  <w:sz w:val="19"/>
                  <w:szCs w:val="19"/>
                  <w:u w:val="single"/>
                </w:rPr>
                <w:t>’</w:t>
              </w:r>
            </w:hyperlink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finance la réalisation des travaux d’adaptation du logement pour les personnes âgées et celles en situation de handicap.</w:t>
            </w:r>
          </w:p>
          <w:p w:rsidR="00B6742E" w:rsidRPr="00B6742E" w:rsidRDefault="00B6742E" w:rsidP="00B674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L’académie de </w:t>
            </w:r>
            <w:hyperlink r:id="rId9" w:history="1">
              <w:r w:rsidRPr="00B6742E">
                <w:rPr>
                  <w:rFonts w:ascii="Marianne" w:eastAsia="Calibri" w:hAnsi="Marianne" w:cs="Calibri"/>
                  <w:color w:val="2323FF"/>
                  <w:sz w:val="19"/>
                  <w:szCs w:val="19"/>
                  <w:u w:val="single"/>
                </w:rPr>
                <w:t>lutte contre la dénutrition</w:t>
              </w:r>
            </w:hyperlink>
            <w:r w:rsidRPr="00B6742E">
              <w:rPr>
                <w:rFonts w:ascii="Marianne" w:eastAsia="Calibri" w:hAnsi="Marianne" w:cs="Calibri"/>
                <w:sz w:val="19"/>
                <w:szCs w:val="19"/>
              </w:rPr>
              <w:t>, issue du Collectif national de lutte contre la dénutrition possède un site internet ressources.</w:t>
            </w:r>
          </w:p>
          <w:p w:rsidR="00B6742E" w:rsidRPr="00B6742E" w:rsidRDefault="00B6742E" w:rsidP="00B674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Le </w:t>
            </w:r>
            <w:hyperlink r:id="rId10" w:history="1">
              <w:r w:rsidRPr="00B6742E">
                <w:rPr>
                  <w:rFonts w:ascii="Marianne" w:eastAsia="Calibri" w:hAnsi="Marianne" w:cs="Calibri"/>
                  <w:color w:val="2323FF"/>
                  <w:sz w:val="19"/>
                  <w:szCs w:val="19"/>
                  <w:u w:val="single"/>
                </w:rPr>
                <w:t>Centre de ressources et de preuves sur la prévention de la perte d’autonomie</w:t>
              </w:r>
            </w:hyperlink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a été créé (Grand Chantier CNSA).</w:t>
            </w:r>
          </w:p>
          <w:p w:rsidR="00B6742E" w:rsidRPr="00B6742E" w:rsidRDefault="00B6742E" w:rsidP="00B6742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b/>
                <w:color w:val="000091"/>
                <w:sz w:val="21"/>
                <w:szCs w:val="21"/>
              </w:rPr>
            </w:pPr>
            <w:r w:rsidRPr="00B6742E">
              <w:rPr>
                <w:rFonts w:ascii="Marianne" w:eastAsia="Calibri" w:hAnsi="Marianne" w:cs="Calibri"/>
                <w:b/>
                <w:color w:val="000091"/>
                <w:sz w:val="21"/>
                <w:szCs w:val="21"/>
              </w:rPr>
              <w:t>Régionales</w:t>
            </w:r>
          </w:p>
          <w:p w:rsidR="00B6742E" w:rsidRPr="00B6742E" w:rsidRDefault="00B6742E" w:rsidP="00B674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Découvrez les </w:t>
            </w:r>
            <w:hyperlink r:id="rId11" w:history="1">
              <w:r w:rsidRPr="00B6742E">
                <w:rPr>
                  <w:rFonts w:ascii="Marianne" w:eastAsia="Calibri" w:hAnsi="Marianne" w:cs="Calibri"/>
                  <w:color w:val="2323FF"/>
                  <w:sz w:val="19"/>
                  <w:szCs w:val="19"/>
                  <w:u w:val="single"/>
                </w:rPr>
                <w:t>maisons sport-santé</w:t>
              </w:r>
            </w:hyperlink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les plus proches de chez vous grâce à la carte interactive.</w:t>
            </w:r>
          </w:p>
          <w:p w:rsidR="00B6742E" w:rsidRPr="00B6742E" w:rsidRDefault="00B6742E" w:rsidP="00B674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Les ateliers et conférences </w:t>
            </w:r>
            <w:hyperlink r:id="rId12" w:history="1">
              <w:r w:rsidRPr="00B6742E">
                <w:rPr>
                  <w:rFonts w:ascii="Marianne" w:eastAsia="Calibri" w:hAnsi="Marianne" w:cs="Calibri"/>
                  <w:color w:val="2323FF"/>
                  <w:sz w:val="19"/>
                  <w:szCs w:val="19"/>
                  <w:u w:val="single"/>
                </w:rPr>
                <w:t>« Bien vieillir »</w:t>
              </w:r>
            </w:hyperlink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organisées par les caisses de retraite de l’</w:t>
            </w:r>
            <w:proofErr w:type="spellStart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>Interrégime</w:t>
            </w:r>
            <w:proofErr w:type="spellEnd"/>
            <w:r w:rsidRPr="00B6742E">
              <w:rPr>
                <w:rFonts w:ascii="Marianne" w:eastAsia="Calibri" w:hAnsi="Marianne" w:cs="Calibri"/>
                <w:sz w:val="19"/>
                <w:szCs w:val="19"/>
              </w:rPr>
              <w:t xml:space="preserve"> (toutes thématiques) sont regroupés dans la carte interactive dédiée.</w:t>
            </w:r>
          </w:p>
          <w:p w:rsidR="00B6742E" w:rsidRPr="00B6742E" w:rsidRDefault="00B6742E" w:rsidP="00B6742E">
            <w:pPr>
              <w:spacing w:after="0" w:line="240" w:lineRule="auto"/>
              <w:rPr>
                <w:rFonts w:ascii="Marianne" w:eastAsia="Calibri" w:hAnsi="Marianne" w:cs="Calibri"/>
                <w:i/>
                <w:sz w:val="19"/>
                <w:szCs w:val="19"/>
                <w:lang w:eastAsia="fr-FR"/>
              </w:rPr>
            </w:pPr>
          </w:p>
        </w:tc>
      </w:tr>
      <w:tr w:rsidR="00B6742E" w:rsidRPr="00B6742E" w:rsidTr="00B6742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E" w:rsidRPr="00B6742E" w:rsidRDefault="00B6742E" w:rsidP="00B6742E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</w:tc>
      </w:tr>
      <w:tr w:rsidR="00B6742E" w:rsidRPr="00B6742E" w:rsidTr="00B6742E">
        <w:trPr>
          <w:jc w:val="center"/>
        </w:trPr>
        <w:tc>
          <w:tcPr>
            <w:tcW w:w="409" w:type="dxa"/>
            <w:vAlign w:val="center"/>
          </w:tcPr>
          <w:p w:rsidR="00B6742E" w:rsidRPr="00B6742E" w:rsidRDefault="00B6742E" w:rsidP="00B674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0" w:type="dxa"/>
            <w:shd w:val="clear" w:color="auto" w:fill="DDE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E" w:rsidRPr="00B6742E" w:rsidRDefault="00B6742E" w:rsidP="00B674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6742E" w:rsidRPr="00B6742E" w:rsidRDefault="00B6742E" w:rsidP="00B6742E">
            <w:pPr>
              <w:spacing w:after="0" w:line="240" w:lineRule="auto"/>
              <w:jc w:val="center"/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</w:pPr>
            <w:r w:rsidRPr="00B6742E"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  <w:t>ARS Auvergne-Rhône-Alpes – Gérontopôle Auvergne Rhône-Alpes</w:t>
            </w:r>
          </w:p>
          <w:p w:rsidR="00B6742E" w:rsidRPr="00B6742E" w:rsidRDefault="00B6742E" w:rsidP="00B6742E">
            <w:pPr>
              <w:spacing w:after="0" w:line="240" w:lineRule="auto"/>
              <w:jc w:val="center"/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</w:pPr>
            <w:r w:rsidRPr="00B6742E">
              <w:rPr>
                <w:rFonts w:ascii="Marianne" w:eastAsia="Calibri" w:hAnsi="Marianne" w:cs="Calibri"/>
                <w:bCs/>
                <w:color w:val="000091"/>
                <w:sz w:val="18"/>
                <w:szCs w:val="19"/>
              </w:rPr>
              <w:t xml:space="preserve">Contacts : </w:t>
            </w:r>
            <w:hyperlink r:id="rId13" w:history="1">
              <w:r w:rsidRPr="00B6742E">
                <w:rPr>
                  <w:rFonts w:ascii="Marianne" w:eastAsia="Calibri" w:hAnsi="Marianne" w:cs="Calibri"/>
                  <w:bCs/>
                  <w:color w:val="5770BE"/>
                  <w:sz w:val="18"/>
                  <w:szCs w:val="19"/>
                  <w:u w:val="single"/>
                </w:rPr>
                <w:t>ars-ara-da-qualite@ars.sante.fr</w:t>
              </w:r>
            </w:hyperlink>
            <w:r w:rsidRPr="00B6742E"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  <w:t xml:space="preserve"> | </w:t>
            </w:r>
            <w:hyperlink r:id="rId14" w:history="1">
              <w:r w:rsidRPr="00B6742E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</w:rPr>
                <w:t>contact@gerontopole-aura.fr</w:t>
              </w:r>
            </w:hyperlink>
          </w:p>
          <w:p w:rsidR="00B6742E" w:rsidRPr="00B6742E" w:rsidRDefault="00B6742E" w:rsidP="00B6742E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</w:tr>
    </w:tbl>
    <w:p w:rsidR="00B6742E" w:rsidRPr="00B6742E" w:rsidRDefault="00B6742E" w:rsidP="00B6742E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:rsidR="00B6742E" w:rsidRPr="00B6742E" w:rsidRDefault="00B6742E" w:rsidP="00B6742E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:rsidR="009A35CE" w:rsidRPr="00B6742E" w:rsidRDefault="009C5068" w:rsidP="00B6742E"/>
    <w:sectPr w:rsidR="009A35CE" w:rsidRPr="00B6742E" w:rsidSect="001A39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8D4"/>
    <w:multiLevelType w:val="hybridMultilevel"/>
    <w:tmpl w:val="7638B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0C6"/>
    <w:multiLevelType w:val="hybridMultilevel"/>
    <w:tmpl w:val="CEBC7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DD8"/>
    <w:multiLevelType w:val="hybridMultilevel"/>
    <w:tmpl w:val="E7764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17CB"/>
    <w:multiLevelType w:val="hybridMultilevel"/>
    <w:tmpl w:val="E24CF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0D"/>
    <w:rsid w:val="00033EC8"/>
    <w:rsid w:val="001A390D"/>
    <w:rsid w:val="003E2AB7"/>
    <w:rsid w:val="009C5068"/>
    <w:rsid w:val="00B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E479BCD-CD38-4A02-B5CE-14B600B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semiHidden/>
    <w:unhideWhenUsed/>
    <w:rsid w:val="001A390D"/>
    <w:rPr>
      <w:color w:val="2323F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1A3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-renov.gouv.fr/aides/maprimeadapt" TargetMode="External"/><Relationship Id="rId13" Type="http://schemas.openxmlformats.org/officeDocument/2006/relationships/hyperlink" Target="mailto:ars-ara-da-qualite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vergne-rhone-alpes.ars.sante.fr/appel-candidatures-2024-developper-des-actions-de-prevention-portees-par-les-ehpad-et-les-ssiad" TargetMode="External"/><Relationship Id="rId12" Type="http://schemas.openxmlformats.org/officeDocument/2006/relationships/hyperlink" Target="http://www.pourbienvieillir.fr/trouver-un-ateli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uvergne-rhone-alpes.ars.sante.fr/appel-candidatures-2024-developper-des-actions-de-prevention-portees-par-les-ehpad-et-les-ssiad" TargetMode="External"/><Relationship Id="rId11" Type="http://schemas.openxmlformats.org/officeDocument/2006/relationships/hyperlink" Target="https://www.sports.gouv.fr/decouvrez-les-maisons-sport-sante-les-plus-proches-de-chez-vous-38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nsa.fr/grands-chantiers/centre-de-ressources-et-de-preuves-sur-la-prevention-de-la-perte-dautonom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tecontreladenutrition.fr/" TargetMode="External"/><Relationship Id="rId14" Type="http://schemas.openxmlformats.org/officeDocument/2006/relationships/hyperlink" Target="mailto:contact.gerontopole@gerontopole-au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 (ARS-ARA)</dc:creator>
  <cp:keywords/>
  <dc:description/>
  <cp:lastModifiedBy>PALACIOS, Pauline (ARS-ARA)</cp:lastModifiedBy>
  <cp:revision>3</cp:revision>
  <cp:lastPrinted>2024-07-01T13:47:00Z</cp:lastPrinted>
  <dcterms:created xsi:type="dcterms:W3CDTF">2024-07-01T13:48:00Z</dcterms:created>
  <dcterms:modified xsi:type="dcterms:W3CDTF">2024-07-01T13:48:00Z</dcterms:modified>
</cp:coreProperties>
</file>