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1741" w:rsidRPr="004D1741" w14:paraId="6E43A5BF" w14:textId="77777777" w:rsidTr="004D1741">
        <w:trPr>
          <w:trHeight w:val="2956"/>
          <w:jc w:val="center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69C6" w14:textId="77777777" w:rsidR="004D1741" w:rsidRPr="004D1741" w:rsidRDefault="004D1741" w:rsidP="00836922">
            <w:pPr>
              <w:spacing w:after="0" w:line="240" w:lineRule="auto"/>
              <w:rPr>
                <w:rFonts w:ascii="Cambria" w:eastAsia="Calibri" w:hAnsi="Cambria" w:cs="Calibri"/>
                <w:b/>
                <w:bCs/>
                <w:color w:val="000091"/>
                <w:sz w:val="36"/>
                <w:szCs w:val="36"/>
              </w:rPr>
            </w:pPr>
            <w:r w:rsidRPr="004D1741">
              <w:rPr>
                <w:rFonts w:ascii="Cambria" w:eastAsia="Calibri" w:hAnsi="Cambria" w:cs="Calibri"/>
                <w:b/>
                <w:noProof/>
                <w:color w:val="000091"/>
                <w:sz w:val="36"/>
                <w:szCs w:val="36"/>
                <w:lang w:eastAsia="fr-FR"/>
              </w:rPr>
              <w:drawing>
                <wp:inline distT="0" distB="0" distL="0" distR="0" wp14:anchorId="53182B97" wp14:editId="52730989">
                  <wp:extent cx="5709037" cy="2858958"/>
                  <wp:effectExtent l="0" t="0" r="6350" b="0"/>
                  <wp:docPr id="5" name="Image 3" descr="cid:image004.png@01D95E37.18ECB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4.png@01D95E37.18ECB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519" cy="286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A81E7" w14:textId="77777777" w:rsidR="004D1741" w:rsidRPr="004D1741" w:rsidRDefault="004D1741" w:rsidP="00836922">
      <w:pPr>
        <w:spacing w:after="0" w:line="240" w:lineRule="auto"/>
        <w:rPr>
          <w:rFonts w:ascii="Cambria" w:eastAsia="Calibri" w:hAnsi="Cambria" w:cs="Calibri"/>
          <w:b/>
          <w:bCs/>
          <w:color w:val="000091"/>
          <w:sz w:val="36"/>
          <w:szCs w:val="36"/>
        </w:rPr>
      </w:pPr>
    </w:p>
    <w:tbl>
      <w:tblPr>
        <w:tblW w:w="9072" w:type="dxa"/>
        <w:jc w:val="center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836"/>
        <w:gridCol w:w="8236"/>
      </w:tblGrid>
      <w:tr w:rsidR="004D1741" w:rsidRPr="004D1741" w14:paraId="449608B3" w14:textId="77777777" w:rsidTr="00EA2733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5BF3" w14:textId="1A90FE3F" w:rsidR="004D1741" w:rsidRPr="004D1741" w:rsidRDefault="004D1741" w:rsidP="00836922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</w:pP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Lettre N° </w:t>
            </w:r>
            <w:r w:rsidR="00E14E2F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10</w:t>
            </w: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 – </w:t>
            </w:r>
            <w:r w:rsidR="00E14E2F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Octobre</w:t>
            </w:r>
            <w:r w:rsidR="005A572C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 2025</w:t>
            </w:r>
          </w:p>
          <w:p w14:paraId="7A525BBB" w14:textId="77777777" w:rsidR="004D1741" w:rsidRPr="004D1741" w:rsidRDefault="004D1741" w:rsidP="00836922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</w:pP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Chaque trimestre, l’Agence régionale de santé et le </w:t>
            </w:r>
            <w:proofErr w:type="spellStart"/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Gérontopôle</w:t>
            </w:r>
            <w:proofErr w:type="spellEnd"/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 Auvergne-Rhône-Alpes </w:t>
            </w: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 xml:space="preserve">vous informent sur la déclinaison du Plan national antichute des personnes âgées </w:t>
            </w: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>de 65 ans et + dans notre région.</w:t>
            </w:r>
          </w:p>
        </w:tc>
      </w:tr>
      <w:tr w:rsidR="004D1741" w:rsidRPr="004D1741" w14:paraId="6FBD325F" w14:textId="77777777" w:rsidTr="00EA2733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86EE" w14:textId="4F1AD000" w:rsidR="004D1741" w:rsidRPr="004D1741" w:rsidRDefault="00E14E2F" w:rsidP="00836922">
            <w:pPr>
              <w:spacing w:before="48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POURSUIVRE LA DYNAMIQUE ENSEMBLE : LA V2</w:t>
            </w:r>
            <w:r w:rsidR="00EA2733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DU PLAN ANTICHUTE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BIENTÔT PUBLIÉE</w:t>
            </w:r>
          </w:p>
        </w:tc>
      </w:tr>
      <w:tr w:rsidR="004D1741" w:rsidRPr="004D1741" w14:paraId="363D4E4C" w14:textId="77777777" w:rsidTr="00EA2733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6584" w14:textId="77777777" w:rsidR="004D1741" w:rsidRPr="004D1741" w:rsidRDefault="004D1741" w:rsidP="00836922">
            <w:pPr>
              <w:spacing w:after="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</w:p>
        </w:tc>
      </w:tr>
      <w:tr w:rsidR="004D1741" w:rsidRPr="004D1741" w14:paraId="50A66BCC" w14:textId="77777777" w:rsidTr="00EA2733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C62" w14:textId="45D29523" w:rsidR="008E2B52" w:rsidRDefault="00E14E2F" w:rsidP="00E14E2F">
            <w:pPr>
              <w:spacing w:before="120" w:after="360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E14E2F">
              <w:rPr>
                <w:rFonts w:ascii="Marianne" w:eastAsia="Calibri" w:hAnsi="Marianne" w:cs="Calibri"/>
                <w:sz w:val="19"/>
                <w:szCs w:val="19"/>
              </w:rPr>
              <w:t xml:space="preserve">La nouvelle version du Plan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a</w:t>
            </w:r>
            <w:r w:rsidRPr="00E14E2F">
              <w:rPr>
                <w:rFonts w:ascii="Marianne" w:eastAsia="Calibri" w:hAnsi="Marianne" w:cs="Calibri"/>
                <w:sz w:val="19"/>
                <w:szCs w:val="19"/>
              </w:rPr>
              <w:t xml:space="preserve">ntichute va être prochainement publiée. Le document revient sur la situation épidémiologique en région, </w:t>
            </w:r>
            <w:r w:rsidR="00FD7B85">
              <w:rPr>
                <w:rFonts w:ascii="Marianne" w:eastAsia="Calibri" w:hAnsi="Marianne" w:cs="Calibri"/>
                <w:sz w:val="19"/>
                <w:szCs w:val="19"/>
              </w:rPr>
              <w:t xml:space="preserve">sur </w:t>
            </w:r>
            <w:r w:rsidRPr="00E14E2F">
              <w:rPr>
                <w:rFonts w:ascii="Marianne" w:eastAsia="Calibri" w:hAnsi="Marianne" w:cs="Calibri"/>
                <w:sz w:val="19"/>
                <w:szCs w:val="19"/>
              </w:rPr>
              <w:t>les actions qui ont été menées depuis le lancement du Plan en 2022 et aborde les perspectives opérationnelles. Retrouvez-le prochainement sur les sites internet du Gérontopôle Aura et de l’ARS Auvergne-Rhône-Alpes !</w:t>
            </w:r>
          </w:p>
          <w:p w14:paraId="5FDF7455" w14:textId="7E3F6E1C" w:rsidR="005022B6" w:rsidRDefault="00E14E2F" w:rsidP="009322EA">
            <w:pPr>
              <w:spacing w:before="120" w:after="6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2</w:t>
            </w:r>
            <w:r w:rsidRPr="00E14E2F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  <w:vertAlign w:val="superscript"/>
              </w:rPr>
              <w:t>e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SÉANCE DU COMITÉ DE PILOTAGE</w:t>
            </w:r>
          </w:p>
          <w:p w14:paraId="7CAADB5A" w14:textId="77777777" w:rsidR="00E14E2F" w:rsidRPr="00E14E2F" w:rsidRDefault="00E14E2F" w:rsidP="00E14E2F">
            <w:pPr>
              <w:spacing w:before="120" w:after="0"/>
              <w:rPr>
                <w:rFonts w:ascii="Marianne" w:eastAsia="Calibri" w:hAnsi="Marianne" w:cs="Calibri"/>
                <w:sz w:val="19"/>
                <w:szCs w:val="19"/>
              </w:rPr>
            </w:pPr>
            <w:r w:rsidRPr="00E14E2F">
              <w:rPr>
                <w:rFonts w:ascii="Marianne" w:eastAsia="Calibri" w:hAnsi="Marianne" w:cs="Calibri"/>
                <w:sz w:val="19"/>
                <w:szCs w:val="19"/>
              </w:rPr>
              <w:t xml:space="preserve">Le comité de pilotage s’est réuni une deuxième fois le 29 septembre. Il a été l’occasion de convenir des </w:t>
            </w:r>
            <w:r w:rsidRPr="00FD7B85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perspectives opérationnelles 2025-2026</w:t>
            </w:r>
            <w:r w:rsidRPr="00E14E2F">
              <w:rPr>
                <w:rFonts w:ascii="Marianne" w:eastAsia="Calibri" w:hAnsi="Marianne" w:cs="Calibri"/>
                <w:sz w:val="19"/>
                <w:szCs w:val="19"/>
              </w:rPr>
              <w:t>. Ainsi, en région, les actions qui seront menées s’orienteront notamment vers :</w:t>
            </w:r>
          </w:p>
          <w:p w14:paraId="3A8BFEF4" w14:textId="24F33B10" w:rsidR="00E14E2F" w:rsidRPr="00E14E2F" w:rsidRDefault="00E14E2F" w:rsidP="00E14E2F">
            <w:pPr>
              <w:pStyle w:val="Paragraphedeliste"/>
              <w:numPr>
                <w:ilvl w:val="0"/>
                <w:numId w:val="16"/>
              </w:numPr>
              <w:spacing w:after="360"/>
              <w:ind w:hanging="266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>
              <w:rPr>
                <w:rFonts w:ascii="Marianne" w:eastAsia="Calibri" w:hAnsi="Marianne" w:cs="Calibri"/>
                <w:sz w:val="19"/>
                <w:szCs w:val="19"/>
              </w:rPr>
              <w:t>l</w:t>
            </w:r>
            <w:r w:rsidRPr="00E14E2F">
              <w:rPr>
                <w:rFonts w:ascii="Marianne" w:eastAsia="Calibri" w:hAnsi="Marianne" w:cs="Calibri"/>
                <w:sz w:val="19"/>
                <w:szCs w:val="19"/>
              </w:rPr>
              <w:t>a</w:t>
            </w:r>
            <w:proofErr w:type="gramEnd"/>
            <w:r w:rsidRPr="00E14E2F">
              <w:rPr>
                <w:rFonts w:ascii="Marianne" w:eastAsia="Calibri" w:hAnsi="Marianne" w:cs="Calibri"/>
                <w:sz w:val="19"/>
                <w:szCs w:val="19"/>
              </w:rPr>
              <w:t xml:space="preserve"> communication auprès des professionnels et du grand public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 ;</w:t>
            </w:r>
          </w:p>
          <w:p w14:paraId="4EE2B317" w14:textId="4720718A" w:rsidR="00E14E2F" w:rsidRPr="00E14E2F" w:rsidRDefault="00E14E2F" w:rsidP="00E14E2F">
            <w:pPr>
              <w:pStyle w:val="Paragraphedeliste"/>
              <w:numPr>
                <w:ilvl w:val="0"/>
                <w:numId w:val="16"/>
              </w:numPr>
              <w:spacing w:before="120" w:after="360"/>
              <w:ind w:hanging="266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>
              <w:rPr>
                <w:rFonts w:ascii="Marianne" w:eastAsia="Calibri" w:hAnsi="Marianne" w:cs="Calibri"/>
                <w:sz w:val="19"/>
                <w:szCs w:val="19"/>
              </w:rPr>
              <w:t>l</w:t>
            </w:r>
            <w:r w:rsidRPr="00E14E2F">
              <w:rPr>
                <w:rFonts w:ascii="Marianne" w:eastAsia="Calibri" w:hAnsi="Marianne" w:cs="Calibri"/>
                <w:sz w:val="19"/>
                <w:szCs w:val="19"/>
              </w:rPr>
              <w:t>a</w:t>
            </w:r>
            <w:proofErr w:type="gramEnd"/>
            <w:r w:rsidRPr="00E14E2F">
              <w:rPr>
                <w:rFonts w:ascii="Marianne" w:eastAsia="Calibri" w:hAnsi="Marianne" w:cs="Calibri"/>
                <w:sz w:val="19"/>
                <w:szCs w:val="19"/>
              </w:rPr>
              <w:t xml:space="preserve"> téléalarme, les aides techniques et l’aménagement du domicile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 ;</w:t>
            </w:r>
          </w:p>
          <w:p w14:paraId="69FD6866" w14:textId="38774C8E" w:rsidR="00E14E2F" w:rsidRPr="00E14E2F" w:rsidRDefault="00E14E2F" w:rsidP="00E14E2F">
            <w:pPr>
              <w:pStyle w:val="Paragraphedeliste"/>
              <w:numPr>
                <w:ilvl w:val="0"/>
                <w:numId w:val="16"/>
              </w:numPr>
              <w:spacing w:before="120" w:after="120"/>
              <w:ind w:hanging="266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>
              <w:rPr>
                <w:rFonts w:ascii="Marianne" w:eastAsia="Calibri" w:hAnsi="Marianne" w:cs="Calibri"/>
                <w:sz w:val="19"/>
                <w:szCs w:val="19"/>
              </w:rPr>
              <w:t>l</w:t>
            </w:r>
            <w:r w:rsidRPr="00E14E2F">
              <w:rPr>
                <w:rFonts w:ascii="Marianne" w:eastAsia="Calibri" w:hAnsi="Marianne" w:cs="Calibri"/>
                <w:sz w:val="19"/>
                <w:szCs w:val="19"/>
              </w:rPr>
              <w:t>a</w:t>
            </w:r>
            <w:proofErr w:type="gramEnd"/>
            <w:r w:rsidRPr="00E14E2F">
              <w:rPr>
                <w:rFonts w:ascii="Marianne" w:eastAsia="Calibri" w:hAnsi="Marianne" w:cs="Calibri"/>
                <w:sz w:val="19"/>
                <w:szCs w:val="19"/>
              </w:rPr>
              <w:t xml:space="preserve"> continuité des travaux engagés autour de l’ostéoporose et l’iatrogénie médicamenteuse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.</w:t>
            </w:r>
          </w:p>
          <w:p w14:paraId="399AF23D" w14:textId="66752933" w:rsidR="00E14E2F" w:rsidRDefault="00E14E2F" w:rsidP="00E14E2F">
            <w:pPr>
              <w:spacing w:before="120" w:after="360"/>
              <w:rPr>
                <w:rFonts w:ascii="Marianne" w:eastAsia="Calibri" w:hAnsi="Marianne" w:cs="Calibri"/>
                <w:sz w:val="19"/>
                <w:szCs w:val="19"/>
              </w:rPr>
            </w:pPr>
            <w:r w:rsidRPr="00E14E2F">
              <w:rPr>
                <w:rFonts w:ascii="Marianne" w:eastAsia="Calibri" w:hAnsi="Marianne" w:cs="Calibri"/>
                <w:sz w:val="19"/>
                <w:szCs w:val="19"/>
              </w:rPr>
              <w:t>Des groupes de travail de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v</w:t>
            </w:r>
            <w:r w:rsidRPr="00E14E2F">
              <w:rPr>
                <w:rFonts w:ascii="Marianne" w:eastAsia="Calibri" w:hAnsi="Marianne" w:cs="Calibri"/>
                <w:sz w:val="19"/>
                <w:szCs w:val="19"/>
              </w:rPr>
              <w:t>raient être constitués pour mener des réflexions communes autour de ces questions.</w:t>
            </w:r>
          </w:p>
          <w:p w14:paraId="609E4C54" w14:textId="77777777" w:rsidR="004E5F60" w:rsidRDefault="004E5F60" w:rsidP="00E14E2F">
            <w:pPr>
              <w:spacing w:before="120" w:after="360"/>
              <w:rPr>
                <w:rFonts w:ascii="Marianne" w:eastAsia="Calibri" w:hAnsi="Marianne" w:cs="Calibri"/>
                <w:sz w:val="19"/>
                <w:szCs w:val="19"/>
              </w:rPr>
            </w:pPr>
          </w:p>
          <w:p w14:paraId="73E6CCED" w14:textId="14EF2AA5" w:rsidR="00E14E2F" w:rsidRPr="00E14E2F" w:rsidRDefault="004E5F60" w:rsidP="00E14E2F">
            <w:pPr>
              <w:spacing w:before="120" w:after="360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noProof/>
                <w:sz w:val="19"/>
                <w:szCs w:val="19"/>
              </w:rPr>
              <w:lastRenderedPageBreak/>
              <w:drawing>
                <wp:inline distT="0" distB="0" distL="0" distR="0" wp14:anchorId="3643A826" wp14:editId="5118F743">
                  <wp:extent cx="5760720" cy="1040765"/>
                  <wp:effectExtent l="0" t="0" r="0" b="6985"/>
                  <wp:docPr id="14319610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961071" name="Image 143196107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04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AA1A74" w14:textId="4CF22E9B" w:rsidR="00EA2733" w:rsidRDefault="00E14E2F" w:rsidP="00EA2733">
            <w:pPr>
              <w:spacing w:before="36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>RETOUR SUR LE WEBINAIRE « ACTIVITÉ PHYSIQUE EN EHPAD » DU 23 SEPTEMBRE</w:t>
            </w:r>
          </w:p>
          <w:p w14:paraId="287B7AA9" w14:textId="7B69D5DD" w:rsidR="00E14E2F" w:rsidRPr="00E14E2F" w:rsidRDefault="00E14E2F" w:rsidP="00FD7B85">
            <w:pPr>
              <w:spacing w:after="0"/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 xml:space="preserve">Le </w:t>
            </w:r>
            <w:proofErr w:type="spellStart"/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>Gérontopôle</w:t>
            </w:r>
            <w:proofErr w:type="spellEnd"/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 xml:space="preserve"> AURA, en partenariat avec l’ARS et la DRAJES Auvergne-Rhône-Alpes, a organisé un temps d’information et d’échanges consacré à l’activité physique en EHPAD. Ce webinaire a réuni un peu plus de 190 acteurs de la région engagés dans le développement du sport santé auprès des seniors</w:t>
            </w:r>
            <w:r w:rsidR="008E74CA">
              <w:rPr>
                <w:rFonts w:ascii="Marianne" w:hAnsi="Marianne"/>
                <w:sz w:val="18"/>
                <w:szCs w:val="18"/>
                <w:lang w:eastAsia="fr-FR"/>
              </w:rPr>
              <w:t xml:space="preserve"> (EHPAD, maisons sport santé, DAPAP…)</w:t>
            </w:r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 xml:space="preserve">. Organisé dans le cadre du </w:t>
            </w:r>
            <w:r w:rsidRPr="00E14E2F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 xml:space="preserve">projet </w:t>
            </w:r>
            <w:proofErr w:type="spellStart"/>
            <w:r w:rsidRPr="00E14E2F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Rés’aps</w:t>
            </w:r>
            <w:proofErr w:type="spellEnd"/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>, il a permis d’aborder :</w:t>
            </w:r>
          </w:p>
          <w:p w14:paraId="241D5EF1" w14:textId="6C95E35C" w:rsidR="00E14E2F" w:rsidRPr="00E14E2F" w:rsidRDefault="00E14E2F" w:rsidP="00FD7B85">
            <w:pPr>
              <w:pStyle w:val="Paragraphedeliste"/>
              <w:numPr>
                <w:ilvl w:val="0"/>
                <w:numId w:val="16"/>
              </w:numPr>
              <w:spacing w:after="120"/>
              <w:ind w:hanging="266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E14E2F">
              <w:rPr>
                <w:rFonts w:ascii="Marianne" w:eastAsia="Calibri" w:hAnsi="Marianne" w:cs="Calibri"/>
                <w:sz w:val="19"/>
                <w:szCs w:val="19"/>
              </w:rPr>
              <w:t>le</w:t>
            </w:r>
            <w:proofErr w:type="gramEnd"/>
            <w:r w:rsidRPr="00E14E2F">
              <w:rPr>
                <w:rFonts w:ascii="Marianne" w:eastAsia="Calibri" w:hAnsi="Marianne" w:cs="Calibri"/>
                <w:sz w:val="19"/>
                <w:szCs w:val="19"/>
              </w:rPr>
              <w:t xml:space="preserve"> rôle du référent activité physique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 ;</w:t>
            </w:r>
          </w:p>
          <w:p w14:paraId="15D00A36" w14:textId="3760502D" w:rsidR="00E14E2F" w:rsidRPr="00E14E2F" w:rsidRDefault="00E14E2F" w:rsidP="00E14E2F">
            <w:pPr>
              <w:pStyle w:val="Paragraphedeliste"/>
              <w:numPr>
                <w:ilvl w:val="0"/>
                <w:numId w:val="16"/>
              </w:numPr>
              <w:spacing w:before="120" w:after="120"/>
              <w:ind w:hanging="266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E14E2F">
              <w:rPr>
                <w:rFonts w:ascii="Marianne" w:eastAsia="Calibri" w:hAnsi="Marianne" w:cs="Calibri"/>
                <w:sz w:val="19"/>
                <w:szCs w:val="19"/>
              </w:rPr>
              <w:t>les</w:t>
            </w:r>
            <w:proofErr w:type="gramEnd"/>
            <w:r w:rsidRPr="00E14E2F">
              <w:rPr>
                <w:rFonts w:ascii="Marianne" w:eastAsia="Calibri" w:hAnsi="Marianne" w:cs="Calibri"/>
                <w:sz w:val="19"/>
                <w:szCs w:val="19"/>
              </w:rPr>
              <w:t xml:space="preserve"> outils et ressources existants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 ;</w:t>
            </w:r>
          </w:p>
          <w:p w14:paraId="6924781B" w14:textId="77777777" w:rsidR="00E14E2F" w:rsidRPr="00E14E2F" w:rsidRDefault="00E14E2F" w:rsidP="00E14E2F">
            <w:pPr>
              <w:pStyle w:val="Paragraphedeliste"/>
              <w:numPr>
                <w:ilvl w:val="0"/>
                <w:numId w:val="16"/>
              </w:numPr>
              <w:spacing w:before="120" w:after="120"/>
              <w:ind w:hanging="266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E14E2F">
              <w:rPr>
                <w:rFonts w:ascii="Marianne" w:eastAsia="Calibri" w:hAnsi="Marianne" w:cs="Calibri"/>
                <w:sz w:val="19"/>
                <w:szCs w:val="19"/>
              </w:rPr>
              <w:t>les</w:t>
            </w:r>
            <w:proofErr w:type="gramEnd"/>
            <w:r w:rsidRPr="00E14E2F">
              <w:rPr>
                <w:rFonts w:ascii="Marianne" w:eastAsia="Calibri" w:hAnsi="Marianne" w:cs="Calibri"/>
                <w:sz w:val="19"/>
                <w:szCs w:val="19"/>
              </w:rPr>
              <w:t xml:space="preserve"> soutiens disponibles pour accompagner les projets.</w:t>
            </w:r>
          </w:p>
          <w:p w14:paraId="774FBAA4" w14:textId="77777777" w:rsidR="00E14E2F" w:rsidRPr="00E14E2F" w:rsidRDefault="00E14E2F" w:rsidP="00E14E2F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 xml:space="preserve"> Vous n’avez pas pu y assister ? L’enregistrement du webinaire est désormais disponible </w:t>
            </w:r>
            <w:hyperlink r:id="rId8" w:history="1">
              <w:r w:rsidRPr="00E14E2F">
                <w:rPr>
                  <w:rStyle w:val="Lienhypertexte"/>
                  <w:rFonts w:ascii="Marianne" w:hAnsi="Marianne"/>
                  <w:sz w:val="18"/>
                  <w:szCs w:val="18"/>
                  <w:lang w:eastAsia="fr-FR"/>
                </w:rPr>
                <w:t>en ligne.</w:t>
              </w:r>
            </w:hyperlink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 xml:space="preserve"> </w:t>
            </w:r>
          </w:p>
          <w:p w14:paraId="6F3433C0" w14:textId="5E4BD077" w:rsidR="004979DD" w:rsidRPr="004979DD" w:rsidRDefault="00E14E2F" w:rsidP="004979DD">
            <w:pPr>
              <w:spacing w:before="36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>LES PROCHAINS ÉVÉNEMENTS DU PROJET RES’APS</w:t>
            </w:r>
          </w:p>
          <w:p w14:paraId="76924974" w14:textId="3A154E5B" w:rsidR="00E14E2F" w:rsidRPr="00E14E2F" w:rsidRDefault="00E14E2F" w:rsidP="00E14E2F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>
              <w:rPr>
                <w:rFonts w:ascii="Marianne" w:hAnsi="Marianne"/>
                <w:sz w:val="18"/>
                <w:szCs w:val="18"/>
                <w:lang w:eastAsia="fr-FR"/>
              </w:rPr>
              <w:t>En décembre, d</w:t>
            </w:r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 xml:space="preserve">es </w:t>
            </w:r>
            <w:r w:rsidRPr="00FD7B85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temps de rencontre en présentiel</w:t>
            </w:r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 xml:space="preserve"> sont prévus autour de la promotion de l'activité physique en EHPAD. Ces demi-journées s’adressent à </w:t>
            </w:r>
            <w:r w:rsidRPr="00FD7B85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l’ensemble des acteurs impliqués</w:t>
            </w:r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 xml:space="preserve"> dans le développement du sport-santé pour les seniors, notamment ceux vivant en EHPAD.</w:t>
            </w:r>
          </w:p>
          <w:p w14:paraId="6518F13B" w14:textId="0DB08AC5" w:rsidR="00E14E2F" w:rsidRPr="00E14E2F" w:rsidRDefault="00E14E2F" w:rsidP="00E14E2F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>Elles visent à réunir ces différents acteurs du sport-santé et du bien-vieillir en région afin de clarifier le rôle du référent APS en EHPAD, présenter les ressources régionales disponibles pour développer l’activité physique et favoriser le partage d’expérience entre professionnels.</w:t>
            </w:r>
          </w:p>
          <w:p w14:paraId="08EB5BA6" w14:textId="77777777" w:rsidR="00E14E2F" w:rsidRPr="00E14E2F" w:rsidRDefault="00E14E2F" w:rsidP="00E14E2F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>Elles auront lieu :</w:t>
            </w:r>
          </w:p>
          <w:p w14:paraId="42289C8D" w14:textId="4A1612EC" w:rsidR="00E14E2F" w:rsidRPr="00FD7B85" w:rsidRDefault="00E14E2F" w:rsidP="00FD7B85">
            <w:pPr>
              <w:pStyle w:val="Paragraphedeliste"/>
              <w:numPr>
                <w:ilvl w:val="0"/>
                <w:numId w:val="18"/>
              </w:numPr>
              <w:ind w:hanging="266"/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>Secteur EST de la région (Isère, Savoie, Haute Savoie et Ain)</w:t>
            </w:r>
            <w:r w:rsidR="00FD7B85">
              <w:rPr>
                <w:rFonts w:ascii="Marianne" w:hAnsi="Marianne"/>
                <w:sz w:val="18"/>
                <w:szCs w:val="18"/>
                <w:lang w:eastAsia="fr-FR"/>
              </w:rPr>
              <w:t> :</w:t>
            </w: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 </w:t>
            </w:r>
            <w:r w:rsidRPr="00FD7B85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le mardi 2 décembre à Chambéry</w:t>
            </w:r>
          </w:p>
          <w:p w14:paraId="4827A268" w14:textId="31FFA709" w:rsidR="00E14E2F" w:rsidRPr="00FD7B85" w:rsidRDefault="00E14E2F" w:rsidP="00FD7B85">
            <w:pPr>
              <w:pStyle w:val="Paragraphedeliste"/>
              <w:numPr>
                <w:ilvl w:val="0"/>
                <w:numId w:val="18"/>
              </w:numPr>
              <w:ind w:hanging="266"/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>Secteur OUEST de la région (Cantal, Haute-Loire, Puy</w:t>
            </w:r>
            <w:r w:rsidR="00820D9F">
              <w:rPr>
                <w:rFonts w:ascii="Marianne" w:hAnsi="Marianne"/>
                <w:sz w:val="18"/>
                <w:szCs w:val="18"/>
                <w:lang w:eastAsia="fr-FR"/>
              </w:rPr>
              <w:t>-</w:t>
            </w: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>de</w:t>
            </w:r>
            <w:r w:rsidR="00820D9F">
              <w:rPr>
                <w:rFonts w:ascii="Marianne" w:hAnsi="Marianne"/>
                <w:sz w:val="18"/>
                <w:szCs w:val="18"/>
                <w:lang w:eastAsia="fr-FR"/>
              </w:rPr>
              <w:t>-</w:t>
            </w:r>
            <w:r w:rsidR="00820D9F" w:rsidRPr="00FD7B85">
              <w:rPr>
                <w:rFonts w:ascii="Marianne" w:hAnsi="Marianne"/>
                <w:sz w:val="18"/>
                <w:szCs w:val="18"/>
                <w:lang w:eastAsia="fr-FR"/>
              </w:rPr>
              <w:t>Dôme</w:t>
            </w: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 et Allier) : </w:t>
            </w:r>
            <w:r w:rsidRPr="00FD7B85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le jeudi 4 décembre à Clermont Ferrand</w:t>
            </w:r>
          </w:p>
          <w:p w14:paraId="338E44FA" w14:textId="77777777" w:rsidR="00E14E2F" w:rsidRPr="00FD7B85" w:rsidRDefault="00E14E2F" w:rsidP="00FD7B85">
            <w:pPr>
              <w:pStyle w:val="Paragraphedeliste"/>
              <w:numPr>
                <w:ilvl w:val="0"/>
                <w:numId w:val="18"/>
              </w:numPr>
              <w:ind w:hanging="266"/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Secteur CENTRE de la région (Loire, Rhône, Drôme et Ardèche) : </w:t>
            </w:r>
            <w:r w:rsidRPr="00FD7B85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le mardi 9 décembre à Lyon</w:t>
            </w:r>
          </w:p>
          <w:p w14:paraId="5CAF42C6" w14:textId="17DE4013" w:rsidR="00F304CE" w:rsidRDefault="00F304CE" w:rsidP="00E14E2F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hyperlink r:id="rId9" w:history="1">
              <w:r w:rsidRPr="00F304CE">
                <w:rPr>
                  <w:rStyle w:val="Lienhypertexte"/>
                  <w:rFonts w:ascii="Marianne" w:hAnsi="Marianne"/>
                  <w:sz w:val="18"/>
                  <w:szCs w:val="18"/>
                  <w:lang w:eastAsia="fr-FR"/>
                </w:rPr>
                <w:t>Inscrivez-vous aux événement RES’APS</w:t>
              </w:r>
            </w:hyperlink>
          </w:p>
          <w:p w14:paraId="0778CC7C" w14:textId="00AF35CA" w:rsidR="00FD7B85" w:rsidRDefault="00E14E2F" w:rsidP="00E14E2F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E14E2F">
              <w:rPr>
                <w:rFonts w:ascii="Marianne" w:hAnsi="Marianne"/>
                <w:sz w:val="18"/>
                <w:szCs w:val="18"/>
                <w:lang w:eastAsia="fr-FR"/>
              </w:rPr>
              <w:t>Plus d’informations à venir !</w:t>
            </w:r>
          </w:p>
          <w:p w14:paraId="189965BF" w14:textId="6699AA73" w:rsidR="00FD7B85" w:rsidRPr="00FD7B85" w:rsidRDefault="00FD7B85" w:rsidP="00FD7B85">
            <w:pPr>
              <w:spacing w:before="36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 xml:space="preserve">REPÉRAGE DE LA FRAGILITÉ : </w:t>
            </w:r>
            <w:r w:rsidRPr="00FD7B85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>G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>É</w:t>
            </w:r>
            <w:r w:rsidRPr="00FD7B85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>N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>É</w:t>
            </w:r>
            <w:r w:rsidRPr="00FD7B85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>RALISATION D’ICOPE</w:t>
            </w:r>
          </w:p>
          <w:p w14:paraId="4FE10DFA" w14:textId="04ED086F" w:rsidR="00FD7B85" w:rsidRPr="00FD7B85" w:rsidRDefault="00FD7B85" w:rsidP="00FD7B85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Depuis cet été, l’étape 1 du programme ICOPE </w:t>
            </w:r>
            <w:r w:rsidR="00820D9F">
              <w:rPr>
                <w:rFonts w:ascii="Marianne" w:hAnsi="Marianne"/>
                <w:sz w:val="18"/>
                <w:szCs w:val="18"/>
                <w:lang w:eastAsia="fr-FR"/>
              </w:rPr>
              <w:t>(</w:t>
            </w:r>
            <w:r w:rsidR="00820D9F" w:rsidRPr="00820D9F">
              <w:rPr>
                <w:rFonts w:ascii="Marianne" w:hAnsi="Marianne"/>
                <w:i/>
                <w:iCs/>
                <w:sz w:val="18"/>
                <w:szCs w:val="18"/>
                <w:lang w:eastAsia="fr-FR"/>
              </w:rPr>
              <w:t xml:space="preserve">Integrated care for </w:t>
            </w:r>
            <w:proofErr w:type="spellStart"/>
            <w:r w:rsidR="00820D9F" w:rsidRPr="00820D9F">
              <w:rPr>
                <w:rFonts w:ascii="Marianne" w:hAnsi="Marianne"/>
                <w:i/>
                <w:iCs/>
                <w:sz w:val="18"/>
                <w:szCs w:val="18"/>
                <w:lang w:eastAsia="fr-FR"/>
              </w:rPr>
              <w:t>older</w:t>
            </w:r>
            <w:proofErr w:type="spellEnd"/>
            <w:r w:rsidR="00820D9F" w:rsidRPr="00820D9F">
              <w:rPr>
                <w:rFonts w:ascii="Marianne" w:hAnsi="Marianne"/>
                <w:i/>
                <w:iCs/>
                <w:sz w:val="18"/>
                <w:szCs w:val="18"/>
                <w:lang w:eastAsia="fr-FR"/>
              </w:rPr>
              <w:t xml:space="preserve"> people</w:t>
            </w:r>
            <w:r w:rsidR="00820D9F">
              <w:rPr>
                <w:rFonts w:ascii="Marianne" w:hAnsi="Marianne"/>
                <w:sz w:val="18"/>
                <w:szCs w:val="18"/>
                <w:lang w:eastAsia="fr-FR"/>
              </w:rPr>
              <w:t xml:space="preserve">) </w:t>
            </w: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est généralisée à toute la France. </w:t>
            </w:r>
            <w:r>
              <w:rPr>
                <w:rFonts w:ascii="Marianne" w:hAnsi="Marianne"/>
                <w:sz w:val="18"/>
                <w:szCs w:val="18"/>
                <w:lang w:eastAsia="fr-FR"/>
              </w:rPr>
              <w:t xml:space="preserve">Objectif : </w:t>
            </w: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intégrer 2 millions de seniors dans le programme ICOPE d’ici 2027. Cette première étape du programme, conçu par l’Organisation mondiale de la santé (OMS), permet à toute personne de 60 ans et plus, autonome, de </w:t>
            </w:r>
            <w:r w:rsidRPr="00FD7B85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 xml:space="preserve">bénéficier d’un dispositif de repérage précoce </w:t>
            </w: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>de la fragilité et de la perte d’autonomie.</w:t>
            </w:r>
          </w:p>
          <w:p w14:paraId="07E21580" w14:textId="77777777" w:rsidR="00FD7B85" w:rsidRPr="00FD7B85" w:rsidRDefault="00FD7B85" w:rsidP="00FD7B85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FD7B85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En Auvergne-Rhône-Alpes, le dispositif est expérimenté depuis 2022</w:t>
            </w: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 et est porté par les Hospices civils de Lyon (HCL) dans le cadre de l’article 51.</w:t>
            </w:r>
          </w:p>
          <w:p w14:paraId="075F95A3" w14:textId="1EE4BE1D" w:rsidR="00FD7B85" w:rsidRPr="00FD7B85" w:rsidRDefault="00FD7B85" w:rsidP="00FD7B85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Trois outils numériques gratuits – ICOPE Monitor, ICOPE &amp; Moi et </w:t>
            </w:r>
            <w:proofErr w:type="spellStart"/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>DigiCOPE</w:t>
            </w:r>
            <w:proofErr w:type="spellEnd"/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 – sont désormais référencés dans « Mon Espace Santé ». Ces outils de dépistage de la fragilité peuvent être utilisés par</w:t>
            </w:r>
            <w:r w:rsidR="00BB5F72">
              <w:rPr>
                <w:rFonts w:ascii="Marianne" w:hAnsi="Marianne"/>
                <w:sz w:val="18"/>
                <w:szCs w:val="18"/>
                <w:lang w:eastAsia="fr-FR"/>
              </w:rPr>
              <w:t xml:space="preserve"> les professionnels mais également</w:t>
            </w: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 par les usagers. </w:t>
            </w:r>
            <w:r w:rsidRPr="00FD7B85">
              <w:rPr>
                <w:rFonts w:ascii="Marianne" w:hAnsi="Marianne"/>
                <w:color w:val="5770BE" w:themeColor="accent2"/>
                <w:sz w:val="18"/>
                <w:szCs w:val="18"/>
                <w:u w:val="single"/>
                <w:lang w:eastAsia="fr-FR"/>
              </w:rPr>
              <w:t>Retrouvez l’article complet sur le site internet du ministère chargé des solidarités</w:t>
            </w:r>
            <w:r w:rsidRPr="00FD7B85">
              <w:rPr>
                <w:rFonts w:ascii="Marianne" w:hAnsi="Marianne"/>
                <w:sz w:val="18"/>
                <w:szCs w:val="18"/>
                <w:lang w:eastAsia="fr-FR"/>
              </w:rPr>
              <w:t xml:space="preserve">. </w:t>
            </w:r>
          </w:p>
          <w:p w14:paraId="5B48F2D9" w14:textId="77777777" w:rsidR="00FD7B85" w:rsidRPr="00E14E2F" w:rsidRDefault="00FD7B85" w:rsidP="00E14E2F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</w:p>
          <w:p w14:paraId="6FF97911" w14:textId="70152751" w:rsidR="004866EF" w:rsidRPr="004D1741" w:rsidRDefault="004866EF" w:rsidP="00CE07E9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</w:p>
        </w:tc>
      </w:tr>
      <w:tr w:rsidR="004D1741" w:rsidRPr="004D1741" w14:paraId="733F7E64" w14:textId="77777777" w:rsidTr="00EA2733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5D3C" w14:textId="77777777" w:rsidR="004D1741" w:rsidRPr="004D1741" w:rsidRDefault="004D1741" w:rsidP="00836922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</w:p>
        </w:tc>
      </w:tr>
      <w:tr w:rsidR="004D1741" w:rsidRPr="004D1741" w14:paraId="46D5D8D1" w14:textId="77777777" w:rsidTr="004E5F60">
        <w:trPr>
          <w:jc w:val="center"/>
        </w:trPr>
        <w:tc>
          <w:tcPr>
            <w:tcW w:w="715" w:type="dxa"/>
            <w:vAlign w:val="center"/>
          </w:tcPr>
          <w:p w14:paraId="65E0B9FD" w14:textId="77777777" w:rsidR="004D1741" w:rsidRPr="004D1741" w:rsidRDefault="004D1741" w:rsidP="00836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7" w:type="dxa"/>
            <w:shd w:val="clear" w:color="auto" w:fill="DDE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FBE5" w14:textId="77777777" w:rsidR="004D1741" w:rsidRPr="004D1741" w:rsidRDefault="004D1741" w:rsidP="0083692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730B69FD" w14:textId="77777777" w:rsidR="004D1741" w:rsidRPr="004D1741" w:rsidRDefault="004D1741" w:rsidP="003902FF">
            <w:pPr>
              <w:spacing w:after="0" w:line="240" w:lineRule="auto"/>
              <w:jc w:val="center"/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</w:pP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 xml:space="preserve">ARS Auvergne-Rhône-Alpes – </w:t>
            </w:r>
            <w:proofErr w:type="spellStart"/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>Gérontopôle</w:t>
            </w:r>
            <w:proofErr w:type="spellEnd"/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 xml:space="preserve"> Auvergne Rhône-Alpes</w:t>
            </w:r>
          </w:p>
          <w:p w14:paraId="17EDFB09" w14:textId="77777777" w:rsidR="004D1741" w:rsidRPr="004D1741" w:rsidRDefault="004D1741" w:rsidP="003902FF">
            <w:pPr>
              <w:spacing w:after="0" w:line="240" w:lineRule="auto"/>
              <w:jc w:val="center"/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</w:pPr>
            <w:r w:rsidRPr="004D1741">
              <w:rPr>
                <w:rFonts w:ascii="Marianne" w:eastAsia="Calibri" w:hAnsi="Marianne" w:cs="Calibri"/>
                <w:bCs/>
                <w:color w:val="000091"/>
                <w:sz w:val="18"/>
                <w:szCs w:val="19"/>
              </w:rPr>
              <w:t xml:space="preserve">Contacts : </w:t>
            </w:r>
            <w:hyperlink r:id="rId10" w:history="1">
              <w:r w:rsidRPr="004D1741">
                <w:rPr>
                  <w:rFonts w:ascii="Marianne" w:eastAsia="Calibri" w:hAnsi="Marianne" w:cs="Calibri"/>
                  <w:bCs/>
                  <w:color w:val="5770BE"/>
                  <w:sz w:val="18"/>
                  <w:szCs w:val="19"/>
                  <w:u w:val="single"/>
                </w:rPr>
                <w:t>ars-ara-da-qualite@ars.sante.fr</w:t>
              </w:r>
            </w:hyperlink>
            <w:r w:rsidRPr="004D1741"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  <w:t xml:space="preserve"> | </w:t>
            </w:r>
            <w:hyperlink r:id="rId11" w:history="1">
              <w:r w:rsidRPr="004D1741">
                <w:rPr>
                  <w:rFonts w:ascii="Marianne" w:eastAsia="Calibri" w:hAnsi="Marianne" w:cs="Calibri"/>
                  <w:color w:val="5770BE"/>
                  <w:sz w:val="18"/>
                  <w:szCs w:val="19"/>
                  <w:u w:val="single"/>
                </w:rPr>
                <w:t>contact@gerontopole-aura.fr</w:t>
              </w:r>
            </w:hyperlink>
          </w:p>
          <w:p w14:paraId="1FC43FF2" w14:textId="77777777" w:rsidR="004D1741" w:rsidRPr="004D1741" w:rsidRDefault="004D1741" w:rsidP="00836922">
            <w:pPr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</w:tr>
    </w:tbl>
    <w:p w14:paraId="36220B4C" w14:textId="77777777" w:rsidR="00C22142" w:rsidRDefault="00C22142" w:rsidP="00836922"/>
    <w:sectPr w:rsidR="00C22142" w:rsidSect="00456D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271"/>
    <w:multiLevelType w:val="hybridMultilevel"/>
    <w:tmpl w:val="92100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B51"/>
    <w:multiLevelType w:val="hybridMultilevel"/>
    <w:tmpl w:val="E7345E0C"/>
    <w:lvl w:ilvl="0" w:tplc="B860B0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48D4"/>
    <w:multiLevelType w:val="hybridMultilevel"/>
    <w:tmpl w:val="9F90C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74B5"/>
    <w:multiLevelType w:val="hybridMultilevel"/>
    <w:tmpl w:val="24BCB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3758"/>
    <w:multiLevelType w:val="hybridMultilevel"/>
    <w:tmpl w:val="CD502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C337D"/>
    <w:multiLevelType w:val="hybridMultilevel"/>
    <w:tmpl w:val="EC38A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25DD8"/>
    <w:multiLevelType w:val="hybridMultilevel"/>
    <w:tmpl w:val="E7764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931D3"/>
    <w:multiLevelType w:val="hybridMultilevel"/>
    <w:tmpl w:val="5FCC6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4ECC"/>
    <w:multiLevelType w:val="hybridMultilevel"/>
    <w:tmpl w:val="81FAF66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CFD1306"/>
    <w:multiLevelType w:val="hybridMultilevel"/>
    <w:tmpl w:val="F6EAF17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23D17CB"/>
    <w:multiLevelType w:val="hybridMultilevel"/>
    <w:tmpl w:val="E24CF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57E54"/>
    <w:multiLevelType w:val="multilevel"/>
    <w:tmpl w:val="6FAC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02C59"/>
    <w:multiLevelType w:val="hybridMultilevel"/>
    <w:tmpl w:val="0CE4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D18FF"/>
    <w:multiLevelType w:val="hybridMultilevel"/>
    <w:tmpl w:val="46823758"/>
    <w:lvl w:ilvl="0" w:tplc="B43E38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B7BF5"/>
    <w:multiLevelType w:val="hybridMultilevel"/>
    <w:tmpl w:val="8C868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97E48"/>
    <w:multiLevelType w:val="hybridMultilevel"/>
    <w:tmpl w:val="DE38B1AE"/>
    <w:lvl w:ilvl="0" w:tplc="99FE4B0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320C6"/>
    <w:multiLevelType w:val="hybridMultilevel"/>
    <w:tmpl w:val="D3BA32EA"/>
    <w:lvl w:ilvl="0" w:tplc="5CC8C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28515">
    <w:abstractNumId w:val="6"/>
  </w:num>
  <w:num w:numId="2" w16cid:durableId="82799621">
    <w:abstractNumId w:val="10"/>
  </w:num>
  <w:num w:numId="3" w16cid:durableId="1741056223">
    <w:abstractNumId w:val="2"/>
  </w:num>
  <w:num w:numId="4" w16cid:durableId="1224831794">
    <w:abstractNumId w:val="2"/>
  </w:num>
  <w:num w:numId="5" w16cid:durableId="409155093">
    <w:abstractNumId w:val="5"/>
  </w:num>
  <w:num w:numId="6" w16cid:durableId="1288896536">
    <w:abstractNumId w:val="3"/>
  </w:num>
  <w:num w:numId="7" w16cid:durableId="1868133777">
    <w:abstractNumId w:val="12"/>
  </w:num>
  <w:num w:numId="8" w16cid:durableId="1404572525">
    <w:abstractNumId w:val="1"/>
  </w:num>
  <w:num w:numId="9" w16cid:durableId="2032100332">
    <w:abstractNumId w:val="14"/>
  </w:num>
  <w:num w:numId="10" w16cid:durableId="1293755432">
    <w:abstractNumId w:val="15"/>
  </w:num>
  <w:num w:numId="11" w16cid:durableId="75371638">
    <w:abstractNumId w:val="8"/>
  </w:num>
  <w:num w:numId="12" w16cid:durableId="1361126593">
    <w:abstractNumId w:val="11"/>
  </w:num>
  <w:num w:numId="13" w16cid:durableId="502203943">
    <w:abstractNumId w:val="9"/>
  </w:num>
  <w:num w:numId="14" w16cid:durableId="1309822190">
    <w:abstractNumId w:val="0"/>
  </w:num>
  <w:num w:numId="15" w16cid:durableId="1018123544">
    <w:abstractNumId w:val="13"/>
  </w:num>
  <w:num w:numId="16" w16cid:durableId="896358292">
    <w:abstractNumId w:val="4"/>
  </w:num>
  <w:num w:numId="17" w16cid:durableId="1745299457">
    <w:abstractNumId w:val="16"/>
  </w:num>
  <w:num w:numId="18" w16cid:durableId="808479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41"/>
    <w:rsid w:val="0000192B"/>
    <w:rsid w:val="00031EB7"/>
    <w:rsid w:val="00033EC8"/>
    <w:rsid w:val="00093EE1"/>
    <w:rsid w:val="00095341"/>
    <w:rsid w:val="00167FA7"/>
    <w:rsid w:val="001956F7"/>
    <w:rsid w:val="001B2811"/>
    <w:rsid w:val="001B7D58"/>
    <w:rsid w:val="001E6EB5"/>
    <w:rsid w:val="002617AD"/>
    <w:rsid w:val="002A7EDF"/>
    <w:rsid w:val="002C06E6"/>
    <w:rsid w:val="002D4F9C"/>
    <w:rsid w:val="00345111"/>
    <w:rsid w:val="003902FF"/>
    <w:rsid w:val="003E2AB7"/>
    <w:rsid w:val="00445909"/>
    <w:rsid w:val="00456DC3"/>
    <w:rsid w:val="004866EF"/>
    <w:rsid w:val="004979DD"/>
    <w:rsid w:val="004A179C"/>
    <w:rsid w:val="004D1741"/>
    <w:rsid w:val="004E5F60"/>
    <w:rsid w:val="004F0B19"/>
    <w:rsid w:val="005022B6"/>
    <w:rsid w:val="00520A3F"/>
    <w:rsid w:val="005758CA"/>
    <w:rsid w:val="005A572C"/>
    <w:rsid w:val="005C3986"/>
    <w:rsid w:val="00601C58"/>
    <w:rsid w:val="00653590"/>
    <w:rsid w:val="0067189E"/>
    <w:rsid w:val="00686D8C"/>
    <w:rsid w:val="006B4A64"/>
    <w:rsid w:val="00721CF2"/>
    <w:rsid w:val="007435E9"/>
    <w:rsid w:val="007A715A"/>
    <w:rsid w:val="007F3823"/>
    <w:rsid w:val="00820D9F"/>
    <w:rsid w:val="00836922"/>
    <w:rsid w:val="008626E8"/>
    <w:rsid w:val="008A7451"/>
    <w:rsid w:val="008E2B52"/>
    <w:rsid w:val="008E74CA"/>
    <w:rsid w:val="0091741C"/>
    <w:rsid w:val="009322EA"/>
    <w:rsid w:val="00990135"/>
    <w:rsid w:val="00A0435E"/>
    <w:rsid w:val="00A12C72"/>
    <w:rsid w:val="00A70756"/>
    <w:rsid w:val="00A905F6"/>
    <w:rsid w:val="00B0441E"/>
    <w:rsid w:val="00B35598"/>
    <w:rsid w:val="00B35B5B"/>
    <w:rsid w:val="00B535B7"/>
    <w:rsid w:val="00B63D63"/>
    <w:rsid w:val="00BB5F72"/>
    <w:rsid w:val="00BC1358"/>
    <w:rsid w:val="00BF2BEE"/>
    <w:rsid w:val="00BF39CC"/>
    <w:rsid w:val="00C22142"/>
    <w:rsid w:val="00C55ADB"/>
    <w:rsid w:val="00C8729C"/>
    <w:rsid w:val="00C87E33"/>
    <w:rsid w:val="00C92013"/>
    <w:rsid w:val="00CD1480"/>
    <w:rsid w:val="00CE07E9"/>
    <w:rsid w:val="00CF63FF"/>
    <w:rsid w:val="00DB4404"/>
    <w:rsid w:val="00DD2217"/>
    <w:rsid w:val="00DD5A5E"/>
    <w:rsid w:val="00E14E2F"/>
    <w:rsid w:val="00E44961"/>
    <w:rsid w:val="00E55E89"/>
    <w:rsid w:val="00E909B4"/>
    <w:rsid w:val="00EA1D01"/>
    <w:rsid w:val="00EA2733"/>
    <w:rsid w:val="00EA35F9"/>
    <w:rsid w:val="00F0494A"/>
    <w:rsid w:val="00F11943"/>
    <w:rsid w:val="00F304CE"/>
    <w:rsid w:val="00F702F7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A8EE"/>
  <w15:chartTrackingRefBased/>
  <w15:docId w15:val="{75B3C505-4FD7-4659-9CF9-CA64CB85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semiHidden/>
    <w:unhideWhenUsed/>
    <w:rsid w:val="004D1741"/>
    <w:rPr>
      <w:color w:val="2323FF"/>
      <w:u w:val="single"/>
    </w:rPr>
  </w:style>
  <w:style w:type="character" w:styleId="Lienhypertexte">
    <w:name w:val="Hyperlink"/>
    <w:basedOn w:val="Policepardfaut"/>
    <w:uiPriority w:val="99"/>
    <w:unhideWhenUsed/>
    <w:rsid w:val="004D1741"/>
    <w:rPr>
      <w:color w:val="AFAFFE" w:themeColor="hyperlink"/>
      <w:u w:val="single"/>
    </w:rPr>
  </w:style>
  <w:style w:type="paragraph" w:styleId="Paragraphedeliste">
    <w:name w:val="List Paragraph"/>
    <w:aliases w:val="Listes,lp1,Paragraphe 3,§norme,Resume Title,Paragraphe de liste N1,Bullet Niv 1,Normal bullet 2,Bullet point 1,Puces n°1,NormTab,Puce niveau 0,Tiret1,P1 Pharos,Listes Puce,Puce tableau,Puces 1er niveau,List Paragraph1,article,normal"/>
    <w:basedOn w:val="Normal"/>
    <w:link w:val="ParagraphedelisteCar"/>
    <w:uiPriority w:val="34"/>
    <w:qFormat/>
    <w:rsid w:val="004D174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D17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D17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17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17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17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741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Listes Car,lp1 Car,Paragraphe 3 Car,§norme Car,Resume Title Car,Paragraphe de liste N1 Car,Bullet Niv 1 Car,Normal bullet 2 Car,Bullet point 1 Car,Puces n°1 Car,NormTab Car,Puce niveau 0 Car,Tiret1 Car,P1 Pharos Car,article Car"/>
    <w:basedOn w:val="Policepardfaut"/>
    <w:link w:val="Paragraphedeliste"/>
    <w:uiPriority w:val="34"/>
    <w:locked/>
    <w:rsid w:val="00A905F6"/>
  </w:style>
  <w:style w:type="character" w:styleId="Lienhypertextesuivivisit">
    <w:name w:val="FollowedHyperlink"/>
    <w:basedOn w:val="Policepardfaut"/>
    <w:uiPriority w:val="99"/>
    <w:semiHidden/>
    <w:unhideWhenUsed/>
    <w:rsid w:val="004A179C"/>
    <w:rPr>
      <w:color w:val="CACA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rontopole-aura.fr/chaine-youtube-gerontopole-aur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ntact.gerontopole@gerontopole-aura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s-ara-da-qualite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s:/gerontopoleaura.limesurvey.net/771824?newtest=Y&amp;lang=fr__;!!FiWPmuqhD5aF3oDTQnc!hDefMe71HeRBI9Di1VZkZmgY9OYoPwknLhHt17C4LMQR8e-zvylG0gNNnNiaXvKsBc0D5OsHHMs06XFZHXdnRtYCBeVxQDGN0hFUyZ7jeg3k$" TargetMode="Externa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AFAFFE"/>
      </a:hlink>
      <a:folHlink>
        <a:srgbClr val="CACA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BD3A-F845-47B6-BBDA-823DE2F6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 (ARS-ARA)</dc:creator>
  <cp:keywords/>
  <dc:description/>
  <cp:lastModifiedBy>PALACIOS, Pauline (ARS-ARA)</cp:lastModifiedBy>
  <cp:revision>9</cp:revision>
  <cp:lastPrinted>2025-06-13T15:48:00Z</cp:lastPrinted>
  <dcterms:created xsi:type="dcterms:W3CDTF">2025-10-24T14:36:00Z</dcterms:created>
  <dcterms:modified xsi:type="dcterms:W3CDTF">2025-10-29T10:29:00Z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2025-10-24T14:36:15Z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0c3a5d1f-e055-4d04-80b6-7c3424c65b38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