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8E07" w14:textId="75F8FF05" w:rsidR="001D47C5" w:rsidRPr="00911208" w:rsidRDefault="001D47C5" w:rsidP="001D47C5">
      <w:pPr>
        <w:spacing w:after="0" w:line="240" w:lineRule="auto"/>
        <w:jc w:val="center"/>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F</w:t>
      </w:r>
      <w:r w:rsidR="00313610">
        <w:rPr>
          <w:rFonts w:ascii="Marianne" w:eastAsia="Aptos" w:hAnsi="Marianne" w:cs="Aptos"/>
          <w:b/>
          <w:bCs/>
          <w:kern w:val="0"/>
          <w:sz w:val="22"/>
          <w:szCs w:val="22"/>
          <w14:ligatures w14:val="none"/>
        </w:rPr>
        <w:t>oire aux Questions</w:t>
      </w:r>
      <w:r w:rsidRPr="00911208">
        <w:rPr>
          <w:rFonts w:ascii="Marianne" w:eastAsia="Aptos" w:hAnsi="Marianne" w:cs="Aptos"/>
          <w:b/>
          <w:bCs/>
          <w:kern w:val="0"/>
          <w:sz w:val="22"/>
          <w:szCs w:val="22"/>
          <w14:ligatures w14:val="none"/>
        </w:rPr>
        <w:t xml:space="preserve"> – A</w:t>
      </w:r>
      <w:r w:rsidR="00313610">
        <w:rPr>
          <w:rFonts w:ascii="Marianne" w:eastAsia="Aptos" w:hAnsi="Marianne" w:cs="Aptos"/>
          <w:b/>
          <w:bCs/>
          <w:kern w:val="0"/>
          <w:sz w:val="22"/>
          <w:szCs w:val="22"/>
          <w14:ligatures w14:val="none"/>
        </w:rPr>
        <w:t>ppel à candidature Activité Physique et Sportive en ESMS – secteur Handicap 2026</w:t>
      </w:r>
    </w:p>
    <w:p w14:paraId="72F7CF24"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51CA7AB3"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4436CC7F" w14:textId="2393D84A" w:rsidR="001D47C5" w:rsidRPr="00313610" w:rsidRDefault="00313610" w:rsidP="003136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arianne" w:eastAsia="Aptos" w:hAnsi="Marianne" w:cs="Aptos"/>
          <w:b/>
          <w:bCs/>
          <w:i/>
          <w:iCs/>
          <w:kern w:val="0"/>
          <w:sz w:val="22"/>
          <w:szCs w:val="22"/>
          <w14:ligatures w14:val="none"/>
        </w:rPr>
      </w:pPr>
      <w:r w:rsidRPr="00313610">
        <w:rPr>
          <w:rFonts w:ascii="Marianne" w:eastAsia="Aptos" w:hAnsi="Marianne" w:cs="Aptos"/>
          <w:b/>
          <w:bCs/>
          <w:i/>
          <w:iCs/>
          <w:kern w:val="0"/>
          <w:sz w:val="22"/>
          <w:szCs w:val="22"/>
          <w14:ligatures w14:val="none"/>
        </w:rPr>
        <w:t xml:space="preserve">Questions posées avant le WEBINAIRE du 31 mars </w:t>
      </w:r>
    </w:p>
    <w:p w14:paraId="17CD7D18"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258F091F" w14:textId="77777777" w:rsidR="00C315B4" w:rsidRPr="00911208" w:rsidRDefault="00EA1133" w:rsidP="00FE7FC3">
      <w:pPr>
        <w:pBdr>
          <w:bottom w:val="single" w:sz="4" w:space="1" w:color="auto"/>
        </w:pBdr>
        <w:spacing w:after="0" w:line="240" w:lineRule="auto"/>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Structures éligibles à des financements FIR dans le cadre du présent AAC</w:t>
      </w:r>
    </w:p>
    <w:p w14:paraId="54A6A8BB" w14:textId="77777777" w:rsidR="00C315B4" w:rsidRPr="00911208" w:rsidRDefault="00C315B4" w:rsidP="00C315B4">
      <w:pPr>
        <w:spacing w:after="0" w:line="240" w:lineRule="auto"/>
        <w:rPr>
          <w:rFonts w:ascii="Marianne" w:eastAsia="Aptos" w:hAnsi="Marianne" w:cs="Aptos"/>
          <w:b/>
          <w:bCs/>
          <w:kern w:val="0"/>
          <w:sz w:val="22"/>
          <w:szCs w:val="22"/>
          <w14:ligatures w14:val="none"/>
        </w:rPr>
      </w:pPr>
    </w:p>
    <w:p w14:paraId="0A6791B2" w14:textId="7B5DB2F0"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Notre établissement dispose d'un ESRP et de deux PAOFIP. Par conséquent, sommes-nous éligibles ?</w:t>
      </w:r>
    </w:p>
    <w:p w14:paraId="2EFF9701" w14:textId="424D233E" w:rsidR="00EA1133" w:rsidRPr="00911208" w:rsidRDefault="00EA1133" w:rsidP="001D47C5">
      <w:pPr>
        <w:spacing w:after="0" w:line="240" w:lineRule="auto"/>
        <w:rPr>
          <w:rFonts w:ascii="Marianne" w:eastAsia="Aptos" w:hAnsi="Marianne" w:cs="Aptos"/>
          <w:b/>
          <w:bCs/>
          <w:kern w:val="0"/>
          <w:sz w:val="22"/>
          <w:szCs w:val="22"/>
          <w14:ligatures w14:val="none"/>
        </w:rPr>
      </w:pPr>
    </w:p>
    <w:p w14:paraId="44C14EF3" w14:textId="77777777" w:rsidR="00C315B4" w:rsidRPr="00911208" w:rsidRDefault="00EA1133" w:rsidP="001D47C5">
      <w:p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L’AAC</w:t>
      </w:r>
      <w:r w:rsidR="001D47C5" w:rsidRPr="00911208">
        <w:rPr>
          <w:rFonts w:ascii="Marianne" w:eastAsia="Aptos" w:hAnsi="Marianne" w:cs="Aptos"/>
          <w:color w:val="7030A0"/>
          <w:kern w:val="0"/>
          <w:sz w:val="22"/>
          <w:szCs w:val="22"/>
          <w14:ligatures w14:val="none"/>
        </w:rPr>
        <w:t xml:space="preserve"> s’adresse exclusivement aux établissements médico-sociaux listés dans le cahier des charges disponible sur le site de l’ARS</w:t>
      </w:r>
      <w:r w:rsidR="00C315B4" w:rsidRPr="00911208">
        <w:rPr>
          <w:rFonts w:ascii="Marianne" w:eastAsia="Aptos" w:hAnsi="Marianne" w:cs="Aptos"/>
          <w:color w:val="7030A0"/>
          <w:kern w:val="0"/>
          <w:sz w:val="22"/>
          <w:szCs w:val="22"/>
          <w14:ligatures w14:val="none"/>
        </w:rPr>
        <w:t xml:space="preserve"> : </w:t>
      </w:r>
    </w:p>
    <w:p w14:paraId="375BB9E2" w14:textId="77777777" w:rsidR="00C315B4" w:rsidRPr="00911208" w:rsidRDefault="00C315B4" w:rsidP="00C315B4">
      <w:pPr>
        <w:pStyle w:val="Paragraphedeliste"/>
        <w:numPr>
          <w:ilvl w:val="0"/>
          <w:numId w:val="3"/>
        </w:num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 xml:space="preserve">MAS, EAM, ESAT prioritairement et secondairement SAMSAH dans le secteur adulte </w:t>
      </w:r>
    </w:p>
    <w:p w14:paraId="2F9C8DB4" w14:textId="77777777" w:rsidR="00C315B4" w:rsidRPr="00911208" w:rsidRDefault="00C315B4" w:rsidP="00C315B4">
      <w:pPr>
        <w:pStyle w:val="Paragraphedeliste"/>
        <w:numPr>
          <w:ilvl w:val="0"/>
          <w:numId w:val="3"/>
        </w:num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IME, ITEP, IEM et EAAP dans le secteur enfance</w:t>
      </w:r>
    </w:p>
    <w:p w14:paraId="03471815" w14:textId="78FA92C5" w:rsidR="001D47C5" w:rsidRPr="00911208" w:rsidRDefault="001D47C5" w:rsidP="00C315B4">
      <w:pPr>
        <w:pStyle w:val="Paragraphedeliste"/>
        <w:spacing w:after="0" w:line="240" w:lineRule="auto"/>
        <w:rPr>
          <w:rFonts w:ascii="Marianne" w:eastAsia="Aptos" w:hAnsi="Marianne" w:cs="Aptos"/>
          <w:color w:val="7030A0"/>
          <w:kern w:val="0"/>
          <w:sz w:val="22"/>
          <w:szCs w:val="22"/>
          <w14:ligatures w14:val="none"/>
        </w:rPr>
      </w:pPr>
    </w:p>
    <w:p w14:paraId="64A8BA95" w14:textId="77777777" w:rsidR="00C315B4" w:rsidRPr="00911208" w:rsidRDefault="00C315B4" w:rsidP="00C315B4">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Les plateformes d’accompagnements, d’orientation, de formation et d’inclusion professionnelle et les établissements et service de réadaptation professionnelles ne font donc pas partie des structures éligibles.</w:t>
      </w:r>
    </w:p>
    <w:p w14:paraId="3647F920" w14:textId="77777777" w:rsidR="00C315B4" w:rsidRPr="00911208" w:rsidRDefault="00C315B4" w:rsidP="00C315B4">
      <w:pPr>
        <w:rPr>
          <w:rFonts w:ascii="Marianne" w:eastAsia="Aptos" w:hAnsi="Marianne" w:cs="Times New Roman"/>
          <w:color w:val="7030A0"/>
          <w:sz w:val="22"/>
          <w:szCs w:val="22"/>
        </w:rPr>
      </w:pPr>
    </w:p>
    <w:p w14:paraId="43BBB98F" w14:textId="13CA8230"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 xml:space="preserve">Je suis une structure du monde sportif intervenant auprès d’ESMS, puis-je candidater ? </w:t>
      </w:r>
    </w:p>
    <w:p w14:paraId="0F1766A6" w14:textId="77777777"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p>
    <w:p w14:paraId="395A115E" w14:textId="5E63F067" w:rsidR="00C315B4" w:rsidRPr="00911208" w:rsidRDefault="00C315B4" w:rsidP="00C315B4">
      <w:p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Non, les structures intervenant dans l’accompagnement de l’activité physique ne sont pas éligibles.</w:t>
      </w:r>
      <w:r w:rsidR="007B43A6">
        <w:rPr>
          <w:rFonts w:ascii="Marianne" w:eastAsia="Aptos" w:hAnsi="Marianne" w:cs="Aptos"/>
          <w:color w:val="7030A0"/>
          <w:kern w:val="0"/>
          <w:sz w:val="22"/>
          <w:szCs w:val="22"/>
          <w14:ligatures w14:val="none"/>
        </w:rPr>
        <w:t xml:space="preserve"> L’ARS </w:t>
      </w:r>
      <w:r w:rsidR="00313610">
        <w:rPr>
          <w:rFonts w:ascii="Marianne" w:eastAsia="Aptos" w:hAnsi="Marianne" w:cs="Aptos"/>
          <w:color w:val="7030A0"/>
          <w:kern w:val="0"/>
          <w:sz w:val="22"/>
          <w:szCs w:val="22"/>
          <w14:ligatures w14:val="none"/>
        </w:rPr>
        <w:t>a décidé de</w:t>
      </w:r>
      <w:r w:rsidR="007B43A6">
        <w:rPr>
          <w:rFonts w:ascii="Marianne" w:eastAsia="Aptos" w:hAnsi="Marianne" w:cs="Aptos"/>
          <w:color w:val="7030A0"/>
          <w:kern w:val="0"/>
          <w:sz w:val="22"/>
          <w:szCs w:val="22"/>
          <w14:ligatures w14:val="none"/>
        </w:rPr>
        <w:t xml:space="preserve"> financer des ESMS uniquement. </w:t>
      </w:r>
    </w:p>
    <w:p w14:paraId="4F5915B8" w14:textId="77777777" w:rsidR="00C315B4" w:rsidRPr="00911208" w:rsidRDefault="00C315B4" w:rsidP="00C315B4">
      <w:pPr>
        <w:spacing w:after="0" w:line="240" w:lineRule="auto"/>
        <w:rPr>
          <w:rFonts w:ascii="Marianne" w:eastAsia="Aptos" w:hAnsi="Marianne" w:cs="Aptos"/>
          <w:color w:val="7030A0"/>
          <w:kern w:val="0"/>
          <w:sz w:val="22"/>
          <w:szCs w:val="22"/>
          <w14:ligatures w14:val="none"/>
        </w:rPr>
      </w:pPr>
    </w:p>
    <w:p w14:paraId="41984A39" w14:textId="77777777" w:rsidR="001D47C5" w:rsidRPr="00911208" w:rsidRDefault="001D47C5" w:rsidP="001D47C5">
      <w:pPr>
        <w:spacing w:after="0" w:line="240" w:lineRule="auto"/>
        <w:rPr>
          <w:rFonts w:ascii="Marianne" w:eastAsia="Aptos" w:hAnsi="Marianne" w:cs="Aptos"/>
          <w:color w:val="7030A0"/>
          <w:kern w:val="0"/>
          <w:sz w:val="22"/>
          <w:szCs w:val="22"/>
          <w14:ligatures w14:val="none"/>
        </w:rPr>
      </w:pPr>
    </w:p>
    <w:p w14:paraId="20A5F9AE" w14:textId="3DF82FE6" w:rsidR="001D47C5" w:rsidRPr="00313610" w:rsidRDefault="00FE7FC3"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t>Le</w:t>
      </w:r>
      <w:r w:rsidR="001D47C5" w:rsidRPr="00313610">
        <w:rPr>
          <w:rFonts w:ascii="Marianne" w:eastAsia="Times New Roman" w:hAnsi="Marianne" w:cs="Aptos"/>
          <w:b/>
          <w:bCs/>
          <w:kern w:val="0"/>
          <w:sz w:val="22"/>
          <w:szCs w:val="22"/>
          <w:lang w:eastAsia="fr-FR"/>
          <w14:ligatures w14:val="none"/>
        </w:rPr>
        <w:t xml:space="preserve"> cahier des charges encourage vivement les partenariats avec les acteurs territoriaux du sport. Est-il envisageable de </w:t>
      </w:r>
      <w:proofErr w:type="spellStart"/>
      <w:r w:rsidR="001D47C5" w:rsidRPr="00313610">
        <w:rPr>
          <w:rFonts w:ascii="Marianne" w:eastAsia="Times New Roman" w:hAnsi="Marianne" w:cs="Aptos"/>
          <w:b/>
          <w:bCs/>
          <w:kern w:val="0"/>
          <w:sz w:val="22"/>
          <w:szCs w:val="22"/>
          <w:lang w:eastAsia="fr-FR"/>
          <w14:ligatures w14:val="none"/>
        </w:rPr>
        <w:t>co-construire</w:t>
      </w:r>
      <w:proofErr w:type="spellEnd"/>
      <w:r w:rsidR="001D47C5" w:rsidRPr="00313610">
        <w:rPr>
          <w:rFonts w:ascii="Marianne" w:eastAsia="Times New Roman" w:hAnsi="Marianne" w:cs="Aptos"/>
          <w:b/>
          <w:bCs/>
          <w:kern w:val="0"/>
          <w:sz w:val="22"/>
          <w:szCs w:val="22"/>
          <w:lang w:eastAsia="fr-FR"/>
          <w14:ligatures w14:val="none"/>
        </w:rPr>
        <w:t xml:space="preserve"> notre projet (et de conventionner) avec des structures sportives privées issues du secteur marchand (par exemple, des salles de sport de type </w:t>
      </w:r>
      <w:proofErr w:type="spellStart"/>
      <w:r w:rsidR="001D47C5" w:rsidRPr="00313610">
        <w:rPr>
          <w:rFonts w:ascii="Marianne" w:eastAsia="Times New Roman" w:hAnsi="Marianne" w:cs="Aptos"/>
          <w:b/>
          <w:bCs/>
          <w:i/>
          <w:iCs/>
          <w:kern w:val="0"/>
          <w:sz w:val="22"/>
          <w:szCs w:val="22"/>
          <w:lang w:eastAsia="fr-FR"/>
          <w14:ligatures w14:val="none"/>
        </w:rPr>
        <w:t>Elancia</w:t>
      </w:r>
      <w:proofErr w:type="spellEnd"/>
      <w:r w:rsidR="001D47C5" w:rsidRPr="00313610">
        <w:rPr>
          <w:rFonts w:ascii="Marianne" w:eastAsia="Times New Roman" w:hAnsi="Marianne" w:cs="Aptos"/>
          <w:b/>
          <w:bCs/>
          <w:kern w:val="0"/>
          <w:sz w:val="22"/>
          <w:szCs w:val="22"/>
          <w:lang w:eastAsia="fr-FR"/>
          <w14:ligatures w14:val="none"/>
        </w:rPr>
        <w:t>), ou les partenaires doivent-ils être exclusivement issus du tissu associatif ou fédéral ?</w:t>
      </w:r>
    </w:p>
    <w:p w14:paraId="1A684C2C" w14:textId="77777777" w:rsidR="001D47C5" w:rsidRPr="00313610"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Il n’y a pas d’exclusion sur les partenariats avec les structures sportives privées. L’objectif est d’initier ou de renforcer la démarche projet au sein de l’établissement médico-social pour développer l’activité physique et sportive, en tenant compte des besoins et objectifs des personnes accompagnées dans le cadre de leur projet personnalisé. Une attention sera particulièrement portée sur les partenariats des ESMS avec les acteurs locaux.</w:t>
      </w:r>
    </w:p>
    <w:p w14:paraId="77A72A74" w14:textId="77777777" w:rsidR="00EA1133" w:rsidRPr="00FE7FC3" w:rsidRDefault="00EA1133" w:rsidP="00EA1133">
      <w:pPr>
        <w:spacing w:before="100" w:beforeAutospacing="1" w:after="100" w:afterAutospacing="1" w:line="240" w:lineRule="auto"/>
        <w:jc w:val="both"/>
        <w:rPr>
          <w:rFonts w:ascii="Marianne" w:eastAsia="Times New Roman" w:hAnsi="Marianne" w:cs="Aptos"/>
          <w:b/>
          <w:bCs/>
          <w:kern w:val="0"/>
          <w:sz w:val="22"/>
          <w:szCs w:val="22"/>
          <w:highlight w:val="yellow"/>
          <w:lang w:eastAsia="fr-FR"/>
          <w14:ligatures w14:val="none"/>
        </w:rPr>
      </w:pPr>
    </w:p>
    <w:p w14:paraId="2E3F0429" w14:textId="7552704E" w:rsidR="001D47C5" w:rsidRPr="00313610" w:rsidRDefault="001D47C5"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lastRenderedPageBreak/>
        <w:t>Il est indiqué à la page 9 que les personnels assurant les activités et financés sur ce budget doivent être formés et diplômés en tant qu'éducateurs sportifs. Serait-il toutefois possible de financer l'intervention de professionnels paramédicaux libéraux (tels que des psychomotriciens ou des ergothérapeutes), sous réserve de démontrer que leur action sur ce temps dédié est exclusivement orientée vers la mise en place et l'accompagnement d'une pratique sportive ?</w:t>
      </w:r>
    </w:p>
    <w:p w14:paraId="1FA62D0C" w14:textId="3F0D79ED" w:rsidR="00EA1133" w:rsidRPr="00313610" w:rsidRDefault="001D47C5" w:rsidP="00EA1133">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 xml:space="preserve">Non, les professionnels ciblés sont des éducateurs sportifs diplômés ; il ne s’agit pas de paramédicaux libéraux. </w:t>
      </w:r>
    </w:p>
    <w:p w14:paraId="107CD2A6" w14:textId="76AB53CC" w:rsidR="001D47C5" w:rsidRPr="00313610" w:rsidRDefault="001D47C5"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t>S'agissant du montage financier, la participation de l'ARS est plafonnée à 80 % du coût total. Les 20 % de cofinancement externe restants peuvent-ils être apportés par des acteurs privés, tels que des établissements bancaires (ex. : Crédit Agricole), des fondations d'entreprise ou des mutuelles de santé ?</w:t>
      </w:r>
    </w:p>
    <w:p w14:paraId="1FA9EE91" w14:textId="77777777" w:rsidR="001D47C5" w:rsidRPr="00313610"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 xml:space="preserve">Les 20% restant peuvent relever de fonds propres ou de </w:t>
      </w:r>
      <w:proofErr w:type="spellStart"/>
      <w:r w:rsidRPr="00313610">
        <w:rPr>
          <w:rFonts w:ascii="Marianne" w:eastAsia="Aptos" w:hAnsi="Marianne" w:cs="Aptos"/>
          <w:color w:val="7030A0"/>
          <w:kern w:val="0"/>
          <w:sz w:val="22"/>
          <w:szCs w:val="22"/>
          <w:lang w:eastAsia="fr-FR"/>
          <w14:ligatures w14:val="none"/>
        </w:rPr>
        <w:t>co</w:t>
      </w:r>
      <w:proofErr w:type="spellEnd"/>
      <w:r w:rsidRPr="00313610">
        <w:rPr>
          <w:rFonts w:ascii="Marianne" w:eastAsia="Aptos" w:hAnsi="Marianne" w:cs="Aptos"/>
          <w:color w:val="7030A0"/>
          <w:kern w:val="0"/>
          <w:sz w:val="22"/>
          <w:szCs w:val="22"/>
          <w:lang w:eastAsia="fr-FR"/>
          <w14:ligatures w14:val="none"/>
        </w:rPr>
        <w:t>-financeurs externes, que les ESMS auront pu mobiliser sur le projet.</w:t>
      </w:r>
    </w:p>
    <w:p w14:paraId="5531F65C" w14:textId="25BAB5DE" w:rsidR="001D47C5" w:rsidRPr="00313610" w:rsidRDefault="001D47C5" w:rsidP="00EA1133">
      <w:pPr>
        <w:spacing w:before="100" w:beforeAutospacing="1" w:after="100" w:afterAutospacing="1" w:line="240" w:lineRule="auto"/>
        <w:jc w:val="both"/>
        <w:rPr>
          <w:rFonts w:ascii="Marianne" w:eastAsia="Times New Roman" w:hAnsi="Marianne" w:cs="Aptos"/>
          <w:kern w:val="0"/>
          <w:sz w:val="22"/>
          <w:szCs w:val="22"/>
          <w:lang w:eastAsia="fr-FR"/>
          <w14:ligatures w14:val="none"/>
        </w:rPr>
      </w:pPr>
      <w:r w:rsidRPr="00313610">
        <w:rPr>
          <w:rFonts w:ascii="Marianne" w:eastAsia="Times New Roman" w:hAnsi="Marianne" w:cs="Aptos"/>
          <w:kern w:val="0"/>
          <w:sz w:val="22"/>
          <w:szCs w:val="22"/>
          <w:lang w:eastAsia="fr-FR"/>
          <w14:ligatures w14:val="none"/>
        </w:rPr>
        <w:t>S'agissant d'une dynamique portée notamment par la Stratégie Nationale Sport et Handicap 2030, auriez-vous connaissance du déploiement éventuel de ce même appel à candidatures (sur des fonds FIR similaires) dans d'autres régions par le biais de leurs ARS respectives. </w:t>
      </w:r>
    </w:p>
    <w:p w14:paraId="78C4FE69" w14:textId="40B70031" w:rsidR="001D47C5" w:rsidRPr="00911208"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La stratégie va se développer progressivement au niveau national. La gestion du fond</w:t>
      </w:r>
      <w:r w:rsidR="00313610">
        <w:rPr>
          <w:rFonts w:ascii="Marianne" w:eastAsia="Aptos" w:hAnsi="Marianne" w:cs="Aptos"/>
          <w:color w:val="7030A0"/>
          <w:kern w:val="0"/>
          <w:sz w:val="22"/>
          <w:szCs w:val="22"/>
          <w:lang w:eastAsia="fr-FR"/>
          <w14:ligatures w14:val="none"/>
        </w:rPr>
        <w:t>s</w:t>
      </w:r>
      <w:r w:rsidRPr="00313610">
        <w:rPr>
          <w:rFonts w:ascii="Marianne" w:eastAsia="Aptos" w:hAnsi="Marianne" w:cs="Aptos"/>
          <w:color w:val="7030A0"/>
          <w:kern w:val="0"/>
          <w:sz w:val="22"/>
          <w:szCs w:val="22"/>
          <w:lang w:eastAsia="fr-FR"/>
          <w14:ligatures w14:val="none"/>
        </w:rPr>
        <w:t xml:space="preserve"> d’intervention régional relève de la compétence de chaque ARS. Nous vous invitons à consulter régulièrement les sites internet des autres ARS pour disposer de l’information sur le déploiement de la stratégie nationale au niveau de chaque région.</w:t>
      </w:r>
    </w:p>
    <w:p w14:paraId="12AC5387" w14:textId="77777777" w:rsidR="001D47C5" w:rsidRPr="00911208" w:rsidRDefault="001D47C5" w:rsidP="001D47C5">
      <w:pPr>
        <w:spacing w:after="0" w:line="240" w:lineRule="auto"/>
        <w:rPr>
          <w:rFonts w:ascii="Marianne" w:eastAsia="Aptos" w:hAnsi="Marianne" w:cs="Aptos"/>
          <w:kern w:val="0"/>
          <w:sz w:val="22"/>
          <w:szCs w:val="22"/>
          <w:lang w:eastAsia="fr-FR"/>
          <w14:ligatures w14:val="none"/>
        </w:rPr>
      </w:pPr>
    </w:p>
    <w:p w14:paraId="357EB3EE" w14:textId="6B7EBA05" w:rsidR="00EA1133" w:rsidRPr="00911208" w:rsidRDefault="00EA1133" w:rsidP="00EA1133">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L'année dernière nous avons bénéfici</w:t>
      </w:r>
      <w:r w:rsidR="00911208">
        <w:rPr>
          <w:rFonts w:ascii="Marianne" w:eastAsia="Times New Roman" w:hAnsi="Marianne" w:cs="Calibri"/>
          <w:b/>
          <w:bCs/>
          <w:color w:val="000000"/>
          <w:kern w:val="0"/>
          <w:sz w:val="22"/>
          <w:szCs w:val="22"/>
          <w:lang w:eastAsia="fr-FR"/>
          <w14:ligatures w14:val="none"/>
        </w:rPr>
        <w:t>é</w:t>
      </w:r>
      <w:r w:rsidRPr="00911208">
        <w:rPr>
          <w:rFonts w:ascii="Marianne" w:eastAsia="Times New Roman" w:hAnsi="Marianne" w:cs="Calibri"/>
          <w:b/>
          <w:bCs/>
          <w:color w:val="000000"/>
          <w:kern w:val="0"/>
          <w:sz w:val="22"/>
          <w:szCs w:val="22"/>
          <w:lang w:eastAsia="fr-FR"/>
          <w14:ligatures w14:val="none"/>
        </w:rPr>
        <w:t xml:space="preserve"> d'une aide de l'ARS sur ce même Appel à projet.</w:t>
      </w:r>
      <w:r w:rsidR="00DA2487">
        <w:rPr>
          <w:rFonts w:ascii="Marianne" w:eastAsia="Times New Roman" w:hAnsi="Marianne" w:cs="Calibri"/>
          <w:b/>
          <w:bCs/>
          <w:color w:val="000000"/>
          <w:kern w:val="0"/>
          <w:sz w:val="22"/>
          <w:szCs w:val="22"/>
          <w:lang w:eastAsia="fr-FR"/>
          <w14:ligatures w14:val="none"/>
        </w:rPr>
        <w:t xml:space="preserve"> </w:t>
      </w:r>
      <w:r w:rsidRPr="00911208">
        <w:rPr>
          <w:rFonts w:ascii="Marianne" w:eastAsia="Times New Roman" w:hAnsi="Marianne" w:cs="Calibri"/>
          <w:b/>
          <w:bCs/>
          <w:color w:val="000000"/>
          <w:kern w:val="0"/>
          <w:sz w:val="22"/>
          <w:szCs w:val="22"/>
          <w:lang w:eastAsia="fr-FR"/>
          <w14:ligatures w14:val="none"/>
        </w:rPr>
        <w:t>Pouvons-nous re candidater cette année ou devons-nous attendre 2027 ? Le projet soutenu se déroulant sur 2025-2026.</w:t>
      </w:r>
    </w:p>
    <w:p w14:paraId="58C991E4" w14:textId="77777777" w:rsidR="00EA1133" w:rsidRPr="00911208" w:rsidRDefault="00EA1133" w:rsidP="00EA1133">
      <w:pPr>
        <w:spacing w:after="0" w:line="240" w:lineRule="auto"/>
        <w:rPr>
          <w:rFonts w:ascii="Marianne" w:eastAsia="Times New Roman" w:hAnsi="Marianne" w:cs="Calibri"/>
          <w:color w:val="000000"/>
          <w:kern w:val="0"/>
          <w:sz w:val="22"/>
          <w:szCs w:val="22"/>
          <w:lang w:eastAsia="fr-FR"/>
          <w14:ligatures w14:val="none"/>
        </w:rPr>
      </w:pPr>
    </w:p>
    <w:p w14:paraId="61A33451" w14:textId="1AE692D1" w:rsidR="001D47C5" w:rsidRDefault="00EA1133">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Les promoteurs ayant reçu un financement (total ou partiel) l’an dernier ne peuvent pas redéposer un dossier.</w:t>
      </w:r>
      <w:r w:rsidR="00911208">
        <w:rPr>
          <w:rFonts w:ascii="Marianne" w:eastAsia="Aptos" w:hAnsi="Marianne" w:cs="Times New Roman"/>
          <w:color w:val="7030A0"/>
          <w:sz w:val="22"/>
          <w:szCs w:val="22"/>
        </w:rPr>
        <w:t xml:space="preserve"> Le précédent appel à candidature portait sur </w:t>
      </w:r>
      <w:r w:rsidR="00313610">
        <w:rPr>
          <w:rFonts w:ascii="Marianne" w:eastAsia="Aptos" w:hAnsi="Marianne" w:cs="Times New Roman"/>
          <w:color w:val="7030A0"/>
          <w:sz w:val="22"/>
          <w:szCs w:val="22"/>
        </w:rPr>
        <w:t xml:space="preserve">une déclinaison 2025/2026. </w:t>
      </w:r>
      <w:r w:rsidR="00911208">
        <w:rPr>
          <w:rFonts w:ascii="Marianne" w:eastAsia="Aptos" w:hAnsi="Marianne" w:cs="Times New Roman"/>
          <w:color w:val="7030A0"/>
          <w:sz w:val="22"/>
          <w:szCs w:val="22"/>
        </w:rPr>
        <w:t xml:space="preserve">Les projets financés en 2025 le sont jusqu’au 31 décembre 2026. </w:t>
      </w:r>
    </w:p>
    <w:p w14:paraId="12510658" w14:textId="24038973" w:rsidR="00911208" w:rsidRDefault="00911208">
      <w:pPr>
        <w:rPr>
          <w:rFonts w:ascii="Marianne" w:eastAsia="Aptos" w:hAnsi="Marianne" w:cs="Times New Roman"/>
          <w:color w:val="7030A0"/>
          <w:sz w:val="22"/>
          <w:szCs w:val="22"/>
        </w:rPr>
      </w:pPr>
      <w:r>
        <w:rPr>
          <w:rFonts w:ascii="Marianne" w:eastAsia="Aptos" w:hAnsi="Marianne" w:cs="Times New Roman"/>
          <w:color w:val="7030A0"/>
          <w:sz w:val="22"/>
          <w:szCs w:val="22"/>
        </w:rPr>
        <w:t xml:space="preserve">Les ESMS porteur de projet retenus en 2025 comme les ESMS partenaires des projets retenus en 2025 ne peuvent pas </w:t>
      </w:r>
      <w:proofErr w:type="spellStart"/>
      <w:r>
        <w:rPr>
          <w:rFonts w:ascii="Marianne" w:eastAsia="Aptos" w:hAnsi="Marianne" w:cs="Times New Roman"/>
          <w:color w:val="7030A0"/>
          <w:sz w:val="22"/>
          <w:szCs w:val="22"/>
        </w:rPr>
        <w:t>re-candidater</w:t>
      </w:r>
      <w:proofErr w:type="spellEnd"/>
      <w:r>
        <w:rPr>
          <w:rFonts w:ascii="Marianne" w:eastAsia="Aptos" w:hAnsi="Marianne" w:cs="Times New Roman"/>
          <w:color w:val="7030A0"/>
          <w:sz w:val="22"/>
          <w:szCs w:val="22"/>
        </w:rPr>
        <w:t xml:space="preserve"> en 2026 </w:t>
      </w:r>
    </w:p>
    <w:p w14:paraId="6C808692" w14:textId="77777777" w:rsidR="00DA2487" w:rsidRDefault="00DA2487" w:rsidP="00C315B4">
      <w:pPr>
        <w:spacing w:after="0" w:line="240" w:lineRule="auto"/>
        <w:rPr>
          <w:rFonts w:ascii="Marianne" w:eastAsia="Aptos" w:hAnsi="Marianne" w:cs="Aptos"/>
          <w:b/>
          <w:bCs/>
          <w:kern w:val="0"/>
          <w:sz w:val="22"/>
          <w:szCs w:val="22"/>
          <w14:ligatures w14:val="none"/>
        </w:rPr>
      </w:pPr>
    </w:p>
    <w:p w14:paraId="3A1EFFE3" w14:textId="77777777" w:rsidR="00313610" w:rsidRDefault="00313610" w:rsidP="00C315B4">
      <w:pPr>
        <w:spacing w:after="0" w:line="240" w:lineRule="auto"/>
        <w:rPr>
          <w:rFonts w:ascii="Marianne" w:eastAsia="Aptos" w:hAnsi="Marianne" w:cs="Aptos"/>
          <w:b/>
          <w:bCs/>
          <w:kern w:val="0"/>
          <w:sz w:val="22"/>
          <w:szCs w:val="22"/>
          <w14:ligatures w14:val="none"/>
        </w:rPr>
      </w:pPr>
    </w:p>
    <w:p w14:paraId="32148865" w14:textId="77777777" w:rsidR="00313610" w:rsidRDefault="00313610" w:rsidP="00C315B4">
      <w:pPr>
        <w:spacing w:after="0" w:line="240" w:lineRule="auto"/>
        <w:rPr>
          <w:rFonts w:ascii="Marianne" w:eastAsia="Aptos" w:hAnsi="Marianne" w:cs="Aptos"/>
          <w:b/>
          <w:bCs/>
          <w:kern w:val="0"/>
          <w:sz w:val="22"/>
          <w:szCs w:val="22"/>
          <w14:ligatures w14:val="none"/>
        </w:rPr>
      </w:pPr>
    </w:p>
    <w:p w14:paraId="0A91713E" w14:textId="77777777" w:rsidR="00313610" w:rsidRDefault="00313610" w:rsidP="00C315B4">
      <w:pPr>
        <w:spacing w:after="0" w:line="240" w:lineRule="auto"/>
        <w:rPr>
          <w:rFonts w:ascii="Marianne" w:eastAsia="Aptos" w:hAnsi="Marianne" w:cs="Aptos"/>
          <w:b/>
          <w:bCs/>
          <w:kern w:val="0"/>
          <w:sz w:val="22"/>
          <w:szCs w:val="22"/>
          <w14:ligatures w14:val="none"/>
        </w:rPr>
      </w:pPr>
    </w:p>
    <w:p w14:paraId="31685028" w14:textId="77777777" w:rsidR="00313610" w:rsidRDefault="00313610" w:rsidP="00C315B4">
      <w:pPr>
        <w:spacing w:after="0" w:line="240" w:lineRule="auto"/>
        <w:rPr>
          <w:rFonts w:ascii="Marianne" w:eastAsia="Aptos" w:hAnsi="Marianne" w:cs="Aptos"/>
          <w:b/>
          <w:bCs/>
          <w:kern w:val="0"/>
          <w:sz w:val="22"/>
          <w:szCs w:val="22"/>
          <w14:ligatures w14:val="none"/>
        </w:rPr>
      </w:pPr>
    </w:p>
    <w:p w14:paraId="3870B369" w14:textId="77777777" w:rsidR="00313610" w:rsidRDefault="00313610" w:rsidP="00C315B4">
      <w:pPr>
        <w:spacing w:after="0" w:line="240" w:lineRule="auto"/>
        <w:rPr>
          <w:rFonts w:ascii="Marianne" w:eastAsia="Aptos" w:hAnsi="Marianne" w:cs="Aptos"/>
          <w:b/>
          <w:bCs/>
          <w:kern w:val="0"/>
          <w:sz w:val="22"/>
          <w:szCs w:val="22"/>
          <w14:ligatures w14:val="none"/>
        </w:rPr>
      </w:pPr>
    </w:p>
    <w:p w14:paraId="45DD2FA1" w14:textId="2F15F201" w:rsidR="00313610" w:rsidRPr="00313610" w:rsidRDefault="00313610" w:rsidP="003136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arianne" w:eastAsia="Aptos" w:hAnsi="Marianne" w:cs="Aptos"/>
          <w:b/>
          <w:bCs/>
          <w:i/>
          <w:iCs/>
          <w:kern w:val="0"/>
          <w:sz w:val="22"/>
          <w:szCs w:val="22"/>
          <w14:ligatures w14:val="none"/>
        </w:rPr>
      </w:pPr>
      <w:r w:rsidRPr="00313610">
        <w:rPr>
          <w:rFonts w:ascii="Marianne" w:eastAsia="Aptos" w:hAnsi="Marianne" w:cs="Aptos"/>
          <w:b/>
          <w:bCs/>
          <w:i/>
          <w:iCs/>
          <w:kern w:val="0"/>
          <w:sz w:val="22"/>
          <w:szCs w:val="22"/>
          <w14:ligatures w14:val="none"/>
        </w:rPr>
        <w:t xml:space="preserve">Questions posées durant le webinaire du 31 mars </w:t>
      </w:r>
    </w:p>
    <w:p w14:paraId="12712F95" w14:textId="77777777" w:rsidR="00313610" w:rsidRDefault="00313610" w:rsidP="00C315B4">
      <w:pPr>
        <w:spacing w:after="0" w:line="240" w:lineRule="auto"/>
        <w:rPr>
          <w:rFonts w:ascii="Marianne" w:eastAsia="Aptos" w:hAnsi="Marianne" w:cs="Aptos"/>
          <w:b/>
          <w:bCs/>
          <w:kern w:val="0"/>
          <w:sz w:val="22"/>
          <w:szCs w:val="22"/>
          <w14:ligatures w14:val="none"/>
        </w:rPr>
      </w:pPr>
    </w:p>
    <w:p w14:paraId="43C391A3" w14:textId="77777777" w:rsidR="00313610" w:rsidRPr="00911208" w:rsidRDefault="00313610" w:rsidP="00C315B4">
      <w:pPr>
        <w:spacing w:after="0" w:line="240" w:lineRule="auto"/>
        <w:rPr>
          <w:rFonts w:ascii="Marianne" w:eastAsia="Aptos" w:hAnsi="Marianne" w:cs="Aptos"/>
          <w:b/>
          <w:bCs/>
          <w:kern w:val="0"/>
          <w:sz w:val="22"/>
          <w:szCs w:val="22"/>
          <w14:ligatures w14:val="none"/>
        </w:rPr>
      </w:pPr>
    </w:p>
    <w:p w14:paraId="5AB33E4D" w14:textId="12989640" w:rsidR="00C7261F" w:rsidRPr="00911208" w:rsidRDefault="00C315B4" w:rsidP="00FE7FC3">
      <w:pPr>
        <w:pBdr>
          <w:bottom w:val="single" w:sz="4" w:space="1" w:color="auto"/>
        </w:pBdr>
        <w:spacing w:after="0" w:line="240" w:lineRule="auto"/>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 xml:space="preserve">Référent APS </w:t>
      </w:r>
    </w:p>
    <w:p w14:paraId="6F920DA8" w14:textId="77777777" w:rsidR="00C315B4" w:rsidRPr="00911208" w:rsidRDefault="00C315B4" w:rsidP="00C7261F">
      <w:pPr>
        <w:spacing w:after="0" w:line="240" w:lineRule="auto"/>
        <w:jc w:val="both"/>
        <w:rPr>
          <w:rFonts w:ascii="Marianne" w:eastAsia="Calibri" w:hAnsi="Marianne" w:cs="Calibri"/>
          <w:kern w:val="0"/>
          <w:sz w:val="22"/>
          <w:szCs w:val="22"/>
          <w14:ligatures w14:val="none"/>
        </w:rPr>
      </w:pPr>
    </w:p>
    <w:p w14:paraId="0EB6FF91" w14:textId="5CD265F1" w:rsidR="00C7261F" w:rsidRPr="00911208" w:rsidRDefault="00C7261F" w:rsidP="00C7261F">
      <w:pPr>
        <w:spacing w:after="0" w:line="240" w:lineRule="auto"/>
        <w:contextualSpacing/>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Le référent APS est un critère d'éligibilité</w:t>
      </w:r>
      <w:r w:rsidR="00C315B4" w:rsidRPr="00911208">
        <w:rPr>
          <w:rFonts w:ascii="Marianne" w:eastAsia="Times New Roman" w:hAnsi="Marianne" w:cs="Calibri"/>
          <w:b/>
          <w:bCs/>
          <w:kern w:val="0"/>
          <w:sz w:val="22"/>
          <w:szCs w:val="22"/>
          <w:lang w:eastAsia="fr-FR"/>
          <w14:ligatures w14:val="none"/>
        </w:rPr>
        <w:t xml:space="preserve"> ? </w:t>
      </w:r>
    </w:p>
    <w:p w14:paraId="72133254" w14:textId="1A014E47" w:rsidR="00C7261F" w:rsidRPr="00911208" w:rsidRDefault="00C7261F" w:rsidP="00C7261F">
      <w:pPr>
        <w:spacing w:after="0" w:line="240" w:lineRule="auto"/>
        <w:contextualSpacing/>
        <w:jc w:val="both"/>
        <w:rPr>
          <w:rFonts w:ascii="Marianne" w:eastAsia="Times New Roman" w:hAnsi="Marianne" w:cs="Calibri"/>
          <w:kern w:val="0"/>
          <w:sz w:val="22"/>
          <w:szCs w:val="22"/>
          <w:lang w:eastAsia="fr-FR"/>
          <w14:ligatures w14:val="none"/>
        </w:rPr>
      </w:pPr>
    </w:p>
    <w:p w14:paraId="7AD7227A" w14:textId="000CDC6E" w:rsidR="00C7261F" w:rsidRPr="00911208" w:rsidRDefault="00C315B4" w:rsidP="00C315B4">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 xml:space="preserve">Oui, les ESMS parties au projet doivent avoir désigné leur référent APS pour être éligibles. </w:t>
      </w:r>
    </w:p>
    <w:p w14:paraId="5FBD485F"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 xml:space="preserve">Faut-il un référent APS pour les 3 ESMS ou faut-il 3 personnes distinctes ? </w:t>
      </w:r>
    </w:p>
    <w:p w14:paraId="184A0E29" w14:textId="77777777" w:rsidR="00BB6CEE" w:rsidRPr="00911208" w:rsidRDefault="00BB6CEE" w:rsidP="00BB6CEE">
      <w:pPr>
        <w:spacing w:after="0" w:line="240" w:lineRule="auto"/>
        <w:jc w:val="both"/>
        <w:rPr>
          <w:rFonts w:ascii="Marianne" w:eastAsia="Times New Roman" w:hAnsi="Marianne" w:cs="Calibri"/>
          <w:kern w:val="0"/>
          <w:sz w:val="22"/>
          <w:szCs w:val="22"/>
          <w:lang w:eastAsia="fr-FR"/>
          <w14:ligatures w14:val="none"/>
        </w:rPr>
      </w:pPr>
    </w:p>
    <w:p w14:paraId="1DC9989F" w14:textId="77777777" w:rsidR="00313610"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Le référent APS doit être rattaché à un ESMS</w:t>
      </w:r>
      <w:r w:rsidR="00911208" w:rsidRP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en référence au décret d</w:t>
      </w:r>
      <w:r w:rsidR="00313610">
        <w:rPr>
          <w:rFonts w:ascii="Marianne" w:eastAsia="Times New Roman" w:hAnsi="Marianne" w:cs="Calibri"/>
          <w:color w:val="7030A0"/>
          <w:kern w:val="0"/>
          <w:sz w:val="22"/>
          <w:szCs w:val="22"/>
          <w:lang w:eastAsia="fr-FR"/>
          <w14:ligatures w14:val="none"/>
        </w:rPr>
        <w:t xml:space="preserve">u 17 juillet </w:t>
      </w:r>
      <w:r w:rsidRPr="00911208">
        <w:rPr>
          <w:rFonts w:ascii="Marianne" w:eastAsia="Times New Roman" w:hAnsi="Marianne" w:cs="Calibri"/>
          <w:color w:val="7030A0"/>
          <w:kern w:val="0"/>
          <w:sz w:val="22"/>
          <w:szCs w:val="22"/>
          <w:lang w:eastAsia="fr-FR"/>
          <w14:ligatures w14:val="none"/>
        </w:rPr>
        <w:t>2023.</w:t>
      </w:r>
      <w:r w:rsidR="00C9538E">
        <w:rPr>
          <w:rFonts w:ascii="Marianne" w:eastAsia="Times New Roman" w:hAnsi="Marianne" w:cs="Calibri"/>
          <w:color w:val="7030A0"/>
          <w:kern w:val="0"/>
          <w:sz w:val="22"/>
          <w:szCs w:val="22"/>
          <w:lang w:eastAsia="fr-FR"/>
          <w14:ligatures w14:val="none"/>
        </w:rPr>
        <w:t xml:space="preserve"> </w:t>
      </w:r>
    </w:p>
    <w:p w14:paraId="42636B2E" w14:textId="77777777" w:rsidR="00313610" w:rsidRPr="00313610" w:rsidRDefault="00313610" w:rsidP="00313610">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Il peut y avoir une coordination des référents APS au niveau régional, mais le cahier des charges ne retient que le référent désigné au sein des ESMS et celui-ci est en proximité avec le public accompagné.</w:t>
      </w:r>
    </w:p>
    <w:p w14:paraId="2BF55125" w14:textId="77777777" w:rsid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6B886649" w14:textId="3B55F2C9" w:rsidR="00911208" w:rsidRPr="00CA3378" w:rsidRDefault="00911208" w:rsidP="00911208">
      <w:pPr>
        <w:spacing w:after="0" w:line="240" w:lineRule="auto"/>
        <w:jc w:val="both"/>
        <w:rPr>
          <w:rFonts w:ascii="Marianne" w:eastAsia="Times New Roman" w:hAnsi="Marianne" w:cs="Calibri"/>
          <w:b/>
          <w:bCs/>
          <w:kern w:val="0"/>
          <w:sz w:val="22"/>
          <w:szCs w:val="22"/>
          <w:lang w:eastAsia="fr-FR"/>
          <w14:ligatures w14:val="none"/>
        </w:rPr>
      </w:pPr>
      <w:r w:rsidRPr="00CA3378">
        <w:rPr>
          <w:rFonts w:ascii="Marianne" w:eastAsia="Times New Roman" w:hAnsi="Marianne" w:cs="Calibri"/>
          <w:b/>
          <w:bCs/>
          <w:kern w:val="0"/>
          <w:sz w:val="22"/>
          <w:szCs w:val="22"/>
          <w:lang w:eastAsia="fr-FR"/>
          <w14:ligatures w14:val="none"/>
        </w:rPr>
        <w:t>Le référent APS est-il obligatoire en CDI sur l'ESMS ou peut-il être référent de la Fondation ou association des ESMS et aide aux déploiements et suivi du projet en lien avec les APA des ESMS. Certains ESMS sont doté</w:t>
      </w:r>
      <w:r w:rsidR="00CA3378">
        <w:rPr>
          <w:rFonts w:ascii="Marianne" w:eastAsia="Times New Roman" w:hAnsi="Marianne" w:cs="Calibri"/>
          <w:b/>
          <w:bCs/>
          <w:kern w:val="0"/>
          <w:sz w:val="22"/>
          <w:szCs w:val="22"/>
          <w:lang w:eastAsia="fr-FR"/>
          <w14:ligatures w14:val="none"/>
        </w:rPr>
        <w:t>s</w:t>
      </w:r>
      <w:r w:rsidRPr="00CA3378">
        <w:rPr>
          <w:rFonts w:ascii="Marianne" w:eastAsia="Times New Roman" w:hAnsi="Marianne" w:cs="Calibri"/>
          <w:b/>
          <w:bCs/>
          <w:kern w:val="0"/>
          <w:sz w:val="22"/>
          <w:szCs w:val="22"/>
          <w:lang w:eastAsia="fr-FR"/>
          <w14:ligatures w14:val="none"/>
        </w:rPr>
        <w:t xml:space="preserve"> d'un petit ETP ce qui faciliterait la réponse à cet appel à candidature</w:t>
      </w:r>
    </w:p>
    <w:p w14:paraId="6AC8E23F" w14:textId="77777777" w:rsidR="00911208" w:rsidRDefault="00911208" w:rsidP="00911208">
      <w:pPr>
        <w:spacing w:after="0" w:line="240" w:lineRule="auto"/>
        <w:jc w:val="both"/>
        <w:rPr>
          <w:rFonts w:ascii="Marianne" w:eastAsia="Times New Roman" w:hAnsi="Marianne" w:cs="Calibri"/>
          <w:b/>
          <w:bCs/>
          <w:kern w:val="0"/>
          <w:sz w:val="22"/>
          <w:szCs w:val="22"/>
          <w:lang w:eastAsia="fr-FR"/>
          <w14:ligatures w14:val="none"/>
        </w:rPr>
      </w:pPr>
    </w:p>
    <w:p w14:paraId="181F41B2" w14:textId="2752A411" w:rsidR="00313610" w:rsidRPr="00313610" w:rsidRDefault="00313610" w:rsidP="00911208">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Le référent APS est désigné par le directeur parmi les salarié</w:t>
      </w:r>
      <w:r>
        <w:rPr>
          <w:rFonts w:ascii="Marianne" w:eastAsia="Times New Roman" w:hAnsi="Marianne" w:cs="Calibri"/>
          <w:color w:val="7030A0"/>
          <w:kern w:val="0"/>
          <w:sz w:val="22"/>
          <w:szCs w:val="22"/>
          <w:lang w:eastAsia="fr-FR"/>
          <w14:ligatures w14:val="none"/>
        </w:rPr>
        <w:t>s</w:t>
      </w:r>
      <w:r w:rsidRPr="00313610">
        <w:rPr>
          <w:rFonts w:ascii="Marianne" w:eastAsia="Times New Roman" w:hAnsi="Marianne" w:cs="Calibri"/>
          <w:color w:val="7030A0"/>
          <w:kern w:val="0"/>
          <w:sz w:val="22"/>
          <w:szCs w:val="22"/>
          <w:lang w:eastAsia="fr-FR"/>
          <w14:ligatures w14:val="none"/>
        </w:rPr>
        <w:t xml:space="preserve"> de l’ESMS, qu’il soit en CDI ou CDD. L’important est qu’il puisse dégager du temps disponible pour exercer ses missions. Le présent appel à candidature ne finance pas de poste de référent APS.</w:t>
      </w:r>
    </w:p>
    <w:p w14:paraId="3AA6CBE8" w14:textId="77777777" w:rsidR="00911208" w:rsidRPr="00CA337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32DFBD59" w14:textId="77777777" w:rsid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22645558" w14:textId="2B256665" w:rsidR="00FE7FC3" w:rsidRPr="00FE7FC3" w:rsidRDefault="00FE7FC3" w:rsidP="00FE7FC3">
      <w:pPr>
        <w:pBdr>
          <w:bottom w:val="single" w:sz="4" w:space="1" w:color="auto"/>
        </w:pBd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Portage</w:t>
      </w:r>
      <w:r>
        <w:rPr>
          <w:rFonts w:ascii="Marianne" w:eastAsia="Times New Roman" w:hAnsi="Marianne" w:cs="Calibri"/>
          <w:b/>
          <w:bCs/>
          <w:kern w:val="0"/>
          <w:sz w:val="22"/>
          <w:szCs w:val="22"/>
          <w:lang w:eastAsia="fr-FR"/>
          <w14:ligatures w14:val="none"/>
        </w:rPr>
        <w:t xml:space="preserve"> et dimensionnement</w:t>
      </w:r>
      <w:r w:rsidRPr="00FE7FC3">
        <w:rPr>
          <w:rFonts w:ascii="Marianne" w:eastAsia="Times New Roman" w:hAnsi="Marianne" w:cs="Calibri"/>
          <w:b/>
          <w:bCs/>
          <w:kern w:val="0"/>
          <w:sz w:val="22"/>
          <w:szCs w:val="22"/>
          <w:lang w:eastAsia="fr-FR"/>
          <w14:ligatures w14:val="none"/>
        </w:rPr>
        <w:t xml:space="preserve"> du projet</w:t>
      </w:r>
    </w:p>
    <w:p w14:paraId="653E738F" w14:textId="77777777" w:rsidR="00BB6CEE" w:rsidRPr="00911208" w:rsidRDefault="00BB6CEE" w:rsidP="00C7261F">
      <w:pPr>
        <w:spacing w:after="0" w:line="240" w:lineRule="auto"/>
        <w:jc w:val="both"/>
        <w:rPr>
          <w:rFonts w:ascii="Marianne" w:eastAsia="Times New Roman" w:hAnsi="Marianne" w:cs="Calibri"/>
          <w:kern w:val="0"/>
          <w:sz w:val="22"/>
          <w:szCs w:val="22"/>
          <w:lang w:eastAsia="fr-FR"/>
          <w14:ligatures w14:val="none"/>
        </w:rPr>
      </w:pPr>
    </w:p>
    <w:p w14:paraId="657EAD16" w14:textId="008CD829" w:rsidR="00C7261F" w:rsidRPr="0091120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Pouvez-vous revenir sur le portage de projet : obligatoire de répondre à plusieurs ESMS ? Pas de portage par OG ?</w:t>
      </w:r>
    </w:p>
    <w:p w14:paraId="33DBA131" w14:textId="77777777" w:rsidR="00C05394" w:rsidRPr="00911208" w:rsidRDefault="00C05394" w:rsidP="00C7261F">
      <w:pPr>
        <w:spacing w:after="0" w:line="240" w:lineRule="auto"/>
        <w:jc w:val="both"/>
        <w:rPr>
          <w:rFonts w:ascii="Marianne" w:eastAsia="Times New Roman" w:hAnsi="Marianne" w:cs="Calibri"/>
          <w:kern w:val="0"/>
          <w:sz w:val="22"/>
          <w:szCs w:val="22"/>
          <w:lang w:eastAsia="fr-FR"/>
          <w14:ligatures w14:val="none"/>
        </w:rPr>
      </w:pPr>
    </w:p>
    <w:p w14:paraId="08BB839D" w14:textId="4D486ABA" w:rsidR="00BB6CEE" w:rsidRDefault="00C315B4" w:rsidP="00C7261F">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Le portage du projet est assuré par un ESMS, en partenariat avec d’autres ESMS d</w:t>
      </w:r>
      <w:r w:rsidR="00C05394" w:rsidRPr="00911208">
        <w:rPr>
          <w:rFonts w:ascii="Marianne" w:eastAsia="Times New Roman" w:hAnsi="Marianne" w:cs="Calibri"/>
          <w:color w:val="7030A0"/>
          <w:kern w:val="0"/>
          <w:sz w:val="22"/>
          <w:szCs w:val="22"/>
          <w:lang w:eastAsia="fr-FR"/>
          <w14:ligatures w14:val="none"/>
        </w:rPr>
        <w:t>’un</w:t>
      </w:r>
      <w:r w:rsidRPr="00911208">
        <w:rPr>
          <w:rFonts w:ascii="Marianne" w:eastAsia="Times New Roman" w:hAnsi="Marianne" w:cs="Calibri"/>
          <w:color w:val="7030A0"/>
          <w:kern w:val="0"/>
          <w:sz w:val="22"/>
          <w:szCs w:val="22"/>
          <w:lang w:eastAsia="fr-FR"/>
          <w14:ligatures w14:val="none"/>
        </w:rPr>
        <w:t xml:space="preserve"> secteur géographique proche</w:t>
      </w:r>
      <w:r w:rsidR="00BB6CEE" w:rsidRP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rattaché</w:t>
      </w:r>
      <w:r w:rsidR="00BB6CEE" w:rsidRPr="00911208">
        <w:rPr>
          <w:rFonts w:ascii="Marianne" w:eastAsia="Times New Roman" w:hAnsi="Marianne" w:cs="Calibri"/>
          <w:color w:val="7030A0"/>
          <w:kern w:val="0"/>
          <w:sz w:val="22"/>
          <w:szCs w:val="22"/>
          <w:lang w:eastAsia="fr-FR"/>
          <w14:ligatures w14:val="none"/>
        </w:rPr>
        <w:t>s</w:t>
      </w:r>
      <w:r w:rsidRPr="00911208">
        <w:rPr>
          <w:rFonts w:ascii="Marianne" w:eastAsia="Times New Roman" w:hAnsi="Marianne" w:cs="Calibri"/>
          <w:color w:val="7030A0"/>
          <w:kern w:val="0"/>
          <w:sz w:val="22"/>
          <w:szCs w:val="22"/>
          <w:lang w:eastAsia="fr-FR"/>
          <w14:ligatures w14:val="none"/>
        </w:rPr>
        <w:t xml:space="preserve"> au même OG ou relevant d’autres OG</w:t>
      </w:r>
      <w:r w:rsidR="00C05394" w:rsidRPr="00911208">
        <w:rPr>
          <w:rFonts w:ascii="Marianne" w:eastAsia="Times New Roman" w:hAnsi="Marianne" w:cs="Calibri"/>
          <w:color w:val="7030A0"/>
          <w:kern w:val="0"/>
          <w:sz w:val="22"/>
          <w:szCs w:val="22"/>
          <w:lang w:eastAsia="fr-FR"/>
          <w14:ligatures w14:val="none"/>
        </w:rPr>
        <w:t xml:space="preserve">, et </w:t>
      </w:r>
      <w:r w:rsidR="00DA2487">
        <w:rPr>
          <w:rFonts w:ascii="Marianne" w:eastAsia="Times New Roman" w:hAnsi="Marianne" w:cs="Calibri"/>
          <w:color w:val="7030A0"/>
          <w:kern w:val="0"/>
          <w:sz w:val="22"/>
          <w:szCs w:val="22"/>
          <w:lang w:eastAsia="fr-FR"/>
          <w14:ligatures w14:val="none"/>
        </w:rPr>
        <w:t>intervenant dans le</w:t>
      </w:r>
      <w:r w:rsidR="00C05394" w:rsidRPr="00911208">
        <w:rPr>
          <w:rFonts w:ascii="Marianne" w:eastAsia="Times New Roman" w:hAnsi="Marianne" w:cs="Calibri"/>
          <w:color w:val="7030A0"/>
          <w:kern w:val="0"/>
          <w:sz w:val="22"/>
          <w:szCs w:val="22"/>
          <w:lang w:eastAsia="fr-FR"/>
          <w14:ligatures w14:val="none"/>
        </w:rPr>
        <w:t xml:space="preserve"> même secteur d’activité (Adulte ou enfant). </w:t>
      </w:r>
      <w:r w:rsidR="00BB6CEE" w:rsidRPr="00911208">
        <w:rPr>
          <w:rFonts w:ascii="Marianne" w:eastAsia="Times New Roman" w:hAnsi="Marianne" w:cs="Calibri"/>
          <w:color w:val="7030A0"/>
          <w:kern w:val="0"/>
          <w:sz w:val="22"/>
          <w:szCs w:val="22"/>
          <w:lang w:eastAsia="fr-FR"/>
          <w14:ligatures w14:val="none"/>
        </w:rPr>
        <w:t xml:space="preserve">L’OG peut être aidant pour la structuration du projet mais il ne peut pas être porteur. </w:t>
      </w:r>
    </w:p>
    <w:p w14:paraId="75C2F09A" w14:textId="61366E8C" w:rsidR="00911208" w:rsidRP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Il est important de remplir STARS FIR avec le n° SIRET de l’ESMS porteur</w:t>
      </w:r>
      <w:r w:rsidR="00DA2487">
        <w:rPr>
          <w:rFonts w:ascii="Marianne" w:eastAsia="Times New Roman" w:hAnsi="Marianne" w:cs="Calibri"/>
          <w:color w:val="7030A0"/>
          <w:kern w:val="0"/>
          <w:sz w:val="22"/>
          <w:szCs w:val="22"/>
          <w:lang w:eastAsia="fr-FR"/>
          <w14:ligatures w14:val="none"/>
        </w:rPr>
        <w:t xml:space="preserve"> et non celui de l’OG</w:t>
      </w:r>
      <w:r w:rsidR="007B43A6">
        <w:rPr>
          <w:rFonts w:ascii="Marianne" w:eastAsia="Times New Roman" w:hAnsi="Marianne" w:cs="Calibri"/>
          <w:color w:val="7030A0"/>
          <w:kern w:val="0"/>
          <w:sz w:val="22"/>
          <w:szCs w:val="22"/>
          <w:lang w:eastAsia="fr-FR"/>
          <w14:ligatures w14:val="none"/>
        </w:rPr>
        <w:t xml:space="preserve">. </w:t>
      </w:r>
    </w:p>
    <w:p w14:paraId="5F85E3E2"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3C0ECC86"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En milieu rural, les ESMS étant trop éloignés entre eux pour des pratiques partagées régulières, comment peut-on faire ?</w:t>
      </w:r>
    </w:p>
    <w:p w14:paraId="373E6C74" w14:textId="207CC46F"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p>
    <w:p w14:paraId="1EC8F9BD" w14:textId="2A73E7F8"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Une attention particulière sera portée</w:t>
      </w:r>
      <w:r w:rsid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dans cette hypothèse, à l’argumentaire sur la difficulté qui explique l’écart</w:t>
      </w:r>
      <w:r w:rsidR="007B43A6">
        <w:rPr>
          <w:rFonts w:ascii="Marianne" w:eastAsia="Times New Roman" w:hAnsi="Marianne" w:cs="Calibri"/>
          <w:color w:val="7030A0"/>
          <w:kern w:val="0"/>
          <w:sz w:val="22"/>
          <w:szCs w:val="22"/>
          <w:lang w:eastAsia="fr-FR"/>
          <w14:ligatures w14:val="none"/>
        </w:rPr>
        <w:t xml:space="preserve"> au cahier des charges. </w:t>
      </w:r>
    </w:p>
    <w:p w14:paraId="42EEBEC3" w14:textId="50C8686E"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lastRenderedPageBreak/>
        <w:t>Pourquoi une telle contrainte de 3</w:t>
      </w:r>
      <w:r w:rsidRPr="00911208">
        <w:rPr>
          <w:rFonts w:ascii="Marianne" w:eastAsia="Times New Roman" w:hAnsi="Marianne" w:cs="Calibri"/>
          <w:b/>
          <w:bCs/>
          <w:kern w:val="0"/>
          <w:sz w:val="22"/>
          <w:szCs w:val="22"/>
          <w:vertAlign w:val="superscript"/>
          <w:lang w:eastAsia="fr-FR"/>
          <w14:ligatures w14:val="none"/>
        </w:rPr>
        <w:t xml:space="preserve"> </w:t>
      </w:r>
      <w:r w:rsidRPr="00911208">
        <w:rPr>
          <w:rFonts w:ascii="Marianne" w:eastAsia="Times New Roman" w:hAnsi="Marianne" w:cs="Calibri"/>
          <w:b/>
          <w:bCs/>
          <w:kern w:val="0"/>
          <w:sz w:val="22"/>
          <w:szCs w:val="22"/>
          <w:lang w:eastAsia="fr-FR"/>
          <w14:ligatures w14:val="none"/>
        </w:rPr>
        <w:t>ESMS ? et pas juste 2 ESMS qui faciliterais la candidature de plus de projets ?</w:t>
      </w:r>
    </w:p>
    <w:p w14:paraId="130DD320"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p>
    <w:p w14:paraId="5C190B7D" w14:textId="33CC527E"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 xml:space="preserve">Il est important de favoriser des synergies entre ESMS et la mutualisation de moyens </w:t>
      </w:r>
      <w:r w:rsidR="00911208">
        <w:rPr>
          <w:rFonts w:ascii="Marianne" w:eastAsia="Times New Roman" w:hAnsi="Marianne" w:cs="Calibri"/>
          <w:color w:val="7030A0"/>
          <w:kern w:val="0"/>
          <w:sz w:val="22"/>
          <w:szCs w:val="22"/>
          <w:lang w:eastAsia="fr-FR"/>
          <w14:ligatures w14:val="none"/>
        </w:rPr>
        <w:t xml:space="preserve">locaux </w:t>
      </w:r>
      <w:r w:rsidR="00C9538E">
        <w:rPr>
          <w:rFonts w:ascii="Marianne" w:eastAsia="Times New Roman" w:hAnsi="Marianne" w:cs="Calibri"/>
          <w:color w:val="7030A0"/>
          <w:kern w:val="0"/>
          <w:sz w:val="22"/>
          <w:szCs w:val="22"/>
          <w:lang w:eastAsia="fr-FR"/>
          <w14:ligatures w14:val="none"/>
        </w:rPr>
        <w:t xml:space="preserve">(temps RH d’éducateur sportif) </w:t>
      </w:r>
      <w:r w:rsidRPr="00911208">
        <w:rPr>
          <w:rFonts w:ascii="Marianne" w:eastAsia="Times New Roman" w:hAnsi="Marianne" w:cs="Calibri"/>
          <w:color w:val="7030A0"/>
          <w:kern w:val="0"/>
          <w:sz w:val="22"/>
          <w:szCs w:val="22"/>
          <w:lang w:eastAsia="fr-FR"/>
          <w14:ligatures w14:val="none"/>
        </w:rPr>
        <w:t xml:space="preserve">sur ce type de projets. Sur le précédent appel à candidature, ce point n’a pas été bloquant pour le dépôt de dossiers. </w:t>
      </w:r>
    </w:p>
    <w:p w14:paraId="47DAB3A5" w14:textId="77777777"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p>
    <w:p w14:paraId="3112F99A" w14:textId="3041341B" w:rsidR="00911208" w:rsidRPr="00911208" w:rsidRDefault="00CA3378" w:rsidP="00911208">
      <w:pPr>
        <w:spacing w:after="0" w:line="240" w:lineRule="auto"/>
        <w:jc w:val="both"/>
        <w:rPr>
          <w:rFonts w:ascii="Marianne" w:eastAsia="Times New Roman" w:hAnsi="Marianne" w:cs="Calibri"/>
          <w:b/>
          <w:bCs/>
          <w:kern w:val="0"/>
          <w:sz w:val="22"/>
          <w:szCs w:val="22"/>
          <w:lang w:eastAsia="fr-FR"/>
          <w14:ligatures w14:val="none"/>
        </w:rPr>
      </w:pPr>
      <w:r>
        <w:rPr>
          <w:rFonts w:ascii="Marianne" w:eastAsia="Times New Roman" w:hAnsi="Marianne" w:cs="Calibri"/>
          <w:b/>
          <w:bCs/>
          <w:kern w:val="0"/>
          <w:sz w:val="22"/>
          <w:szCs w:val="22"/>
          <w:lang w:eastAsia="fr-FR"/>
          <w14:ligatures w14:val="none"/>
        </w:rPr>
        <w:t>Les</w:t>
      </w:r>
      <w:r w:rsidR="00911208" w:rsidRPr="00911208">
        <w:rPr>
          <w:rFonts w:ascii="Marianne" w:eastAsia="Times New Roman" w:hAnsi="Marianne" w:cs="Calibri"/>
          <w:b/>
          <w:bCs/>
          <w:kern w:val="0"/>
          <w:sz w:val="22"/>
          <w:szCs w:val="22"/>
          <w:lang w:eastAsia="fr-FR"/>
          <w14:ligatures w14:val="none"/>
        </w:rPr>
        <w:t xml:space="preserve"> SESSAD peuvent-ils être associés ?</w:t>
      </w:r>
    </w:p>
    <w:p w14:paraId="784E294D" w14:textId="286CDB12" w:rsidR="00911208" w:rsidRPr="00FB6B30" w:rsidRDefault="00911208" w:rsidP="00911208">
      <w:pPr>
        <w:spacing w:after="0" w:line="240" w:lineRule="auto"/>
        <w:jc w:val="both"/>
        <w:rPr>
          <w:rFonts w:ascii="Marianne" w:eastAsia="Times New Roman" w:hAnsi="Marianne" w:cs="Calibri"/>
          <w:color w:val="7030A0"/>
          <w:kern w:val="0"/>
          <w:sz w:val="22"/>
          <w:szCs w:val="22"/>
          <w:lang w:eastAsia="fr-FR"/>
          <w14:ligatures w14:val="none"/>
        </w:rPr>
      </w:pPr>
      <w:r w:rsidRPr="00FB6B30">
        <w:rPr>
          <w:rFonts w:ascii="Marianne" w:eastAsia="Times New Roman" w:hAnsi="Marianne" w:cs="Calibri"/>
          <w:color w:val="7030A0"/>
          <w:kern w:val="0"/>
          <w:sz w:val="22"/>
          <w:szCs w:val="22"/>
          <w:lang w:eastAsia="fr-FR"/>
          <w14:ligatures w14:val="none"/>
        </w:rPr>
        <w:t>Oui, les SESSAD peuvent être également associés au projet, selon l’offre du territoire</w:t>
      </w:r>
      <w:r w:rsidR="00CA3378" w:rsidRPr="00FB6B30">
        <w:rPr>
          <w:rFonts w:ascii="Marianne" w:eastAsia="Times New Roman" w:hAnsi="Marianne" w:cs="Calibri"/>
          <w:color w:val="7030A0"/>
          <w:kern w:val="0"/>
          <w:sz w:val="22"/>
          <w:szCs w:val="22"/>
          <w:lang w:eastAsia="fr-FR"/>
          <w14:ligatures w14:val="none"/>
        </w:rPr>
        <w:t>.</w:t>
      </w:r>
      <w:r w:rsidR="00C9538E">
        <w:rPr>
          <w:rFonts w:ascii="Marianne" w:eastAsia="Times New Roman" w:hAnsi="Marianne" w:cs="Calibri"/>
          <w:color w:val="7030A0"/>
          <w:kern w:val="0"/>
          <w:sz w:val="22"/>
          <w:szCs w:val="22"/>
          <w:lang w:eastAsia="fr-FR"/>
          <w14:ligatures w14:val="none"/>
        </w:rPr>
        <w:t xml:space="preserve"> Mais il faut qu’un établissement soit porteur</w:t>
      </w:r>
      <w:r w:rsidR="00CA3378" w:rsidRPr="00FB6B30">
        <w:rPr>
          <w:rFonts w:ascii="Marianne" w:eastAsia="Times New Roman" w:hAnsi="Marianne" w:cs="Calibri"/>
          <w:color w:val="7030A0"/>
          <w:kern w:val="0"/>
          <w:sz w:val="22"/>
          <w:szCs w:val="22"/>
          <w:lang w:eastAsia="fr-FR"/>
          <w14:ligatures w14:val="none"/>
        </w:rPr>
        <w:t xml:space="preserve"> </w:t>
      </w:r>
    </w:p>
    <w:p w14:paraId="7978CDE6"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E48918F" w14:textId="77777777" w:rsidR="00FB6B30" w:rsidRPr="00FB6B30"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FB6B30">
        <w:rPr>
          <w:rFonts w:ascii="Marianne" w:eastAsia="Times New Roman" w:hAnsi="Marianne" w:cs="Calibri"/>
          <w:b/>
          <w:bCs/>
          <w:kern w:val="0"/>
          <w:sz w:val="22"/>
          <w:szCs w:val="22"/>
          <w:lang w:eastAsia="fr-FR"/>
          <w14:ligatures w14:val="none"/>
        </w:rPr>
        <w:t>Notre association gère les seuls IEM du département. Nous avons quand même sollicité des IME de proximité en vain. Peut-on faire une demande avec nos 2 IEM?</w:t>
      </w:r>
    </w:p>
    <w:p w14:paraId="0835E062" w14:textId="77777777" w:rsidR="00BB6CEE"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94077BF" w14:textId="11A79059" w:rsidR="00FB6B30" w:rsidRPr="00911208" w:rsidRDefault="00FB6B30"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 xml:space="preserve">Le périmètre du projet peut être départemental et le projet peut associer différentes structures, qui ne sont pas forcément du même type (IEM, IME, ITEP et EAAP). L’objectif est de mutualiser des ressources (humaines, matérielles...)  entre ESMS. </w:t>
      </w:r>
    </w:p>
    <w:p w14:paraId="5EEB7638"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4629546" w14:textId="77777777" w:rsidR="00FB6B30" w:rsidRPr="00FE7FC3"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Est-ce que les 30 minutes doivent être communes aux 3 établissements de 3 associations différentes : même temps ? même lieu ? mélange des publics ?</w:t>
      </w:r>
    </w:p>
    <w:p w14:paraId="02A8057B" w14:textId="77777777" w:rsidR="00FE7FC3" w:rsidRDefault="00FE7FC3" w:rsidP="00FB6B30">
      <w:pPr>
        <w:spacing w:after="0" w:line="240" w:lineRule="auto"/>
        <w:jc w:val="both"/>
        <w:rPr>
          <w:rFonts w:ascii="Marianne" w:eastAsia="Times New Roman" w:hAnsi="Marianne" w:cs="Calibri"/>
          <w:kern w:val="0"/>
          <w:sz w:val="22"/>
          <w:szCs w:val="22"/>
          <w:lang w:eastAsia="fr-FR"/>
          <w14:ligatures w14:val="none"/>
        </w:rPr>
      </w:pPr>
    </w:p>
    <w:p w14:paraId="1334161D" w14:textId="59763CA9" w:rsidR="00FE7FC3" w:rsidRPr="00C34928" w:rsidRDefault="00FE7FC3" w:rsidP="00FB6B30">
      <w:pPr>
        <w:spacing w:after="0" w:line="240" w:lineRule="auto"/>
        <w:jc w:val="both"/>
        <w:rPr>
          <w:rFonts w:ascii="Marianne" w:eastAsia="Times New Roman" w:hAnsi="Marianne" w:cs="Calibri"/>
          <w:color w:val="7030A0"/>
          <w:kern w:val="0"/>
          <w:sz w:val="22"/>
          <w:szCs w:val="22"/>
          <w:lang w:eastAsia="fr-FR"/>
          <w14:ligatures w14:val="none"/>
        </w:rPr>
      </w:pPr>
      <w:r w:rsidRPr="00C34928">
        <w:rPr>
          <w:rFonts w:ascii="Marianne" w:eastAsia="Times New Roman" w:hAnsi="Marianne" w:cs="Calibri"/>
          <w:color w:val="7030A0"/>
          <w:kern w:val="0"/>
          <w:sz w:val="22"/>
          <w:szCs w:val="22"/>
          <w:lang w:eastAsia="fr-FR"/>
          <w14:ligatures w14:val="none"/>
        </w:rPr>
        <w:t xml:space="preserve">L’activité physique quotidienne peut être </w:t>
      </w:r>
      <w:r w:rsidR="00313610">
        <w:rPr>
          <w:rFonts w:ascii="Marianne" w:eastAsia="Times New Roman" w:hAnsi="Marianne" w:cs="Calibri"/>
          <w:color w:val="7030A0"/>
          <w:kern w:val="0"/>
          <w:sz w:val="22"/>
          <w:szCs w:val="22"/>
          <w:lang w:eastAsia="fr-FR"/>
          <w14:ligatures w14:val="none"/>
        </w:rPr>
        <w:t xml:space="preserve">distinct </w:t>
      </w:r>
      <w:r w:rsidRPr="00C34928">
        <w:rPr>
          <w:rFonts w:ascii="Marianne" w:eastAsia="Times New Roman" w:hAnsi="Marianne" w:cs="Calibri"/>
          <w:color w:val="7030A0"/>
          <w:kern w:val="0"/>
          <w:sz w:val="22"/>
          <w:szCs w:val="22"/>
          <w:lang w:eastAsia="fr-FR"/>
          <w14:ligatures w14:val="none"/>
        </w:rPr>
        <w:t xml:space="preserve">sur différents sites. </w:t>
      </w:r>
      <w:r w:rsidR="00C9538E">
        <w:rPr>
          <w:rFonts w:ascii="Marianne" w:eastAsia="Times New Roman" w:hAnsi="Marianne" w:cs="Calibri"/>
          <w:color w:val="7030A0"/>
          <w:kern w:val="0"/>
          <w:sz w:val="22"/>
          <w:szCs w:val="22"/>
          <w:lang w:eastAsia="fr-FR"/>
          <w14:ligatures w14:val="none"/>
        </w:rPr>
        <w:t xml:space="preserve">Il faut expliquer comment ces 30 minutes sont déployées au sein des différents ESMS. </w:t>
      </w:r>
      <w:r w:rsidRPr="00C34928">
        <w:rPr>
          <w:rFonts w:ascii="Marianne" w:eastAsia="Times New Roman" w:hAnsi="Marianne" w:cs="Calibri"/>
          <w:color w:val="7030A0"/>
          <w:kern w:val="0"/>
          <w:sz w:val="22"/>
          <w:szCs w:val="22"/>
          <w:lang w:eastAsia="fr-FR"/>
          <w14:ligatures w14:val="none"/>
        </w:rPr>
        <w:t>L’important est que les enfants ou adolescents prennent l’habitude d’une activité physique quotidienne</w:t>
      </w:r>
      <w:r w:rsidR="00C34928" w:rsidRPr="00C34928">
        <w:rPr>
          <w:rFonts w:ascii="Marianne" w:eastAsia="Times New Roman" w:hAnsi="Marianne" w:cs="Calibri"/>
          <w:color w:val="7030A0"/>
          <w:kern w:val="0"/>
          <w:sz w:val="22"/>
          <w:szCs w:val="22"/>
          <w:lang w:eastAsia="fr-FR"/>
          <w14:ligatures w14:val="none"/>
        </w:rPr>
        <w:t>, et que les modalités de celle-ci soi</w:t>
      </w:r>
      <w:r w:rsidR="00313610">
        <w:rPr>
          <w:rFonts w:ascii="Marianne" w:eastAsia="Times New Roman" w:hAnsi="Marianne" w:cs="Calibri"/>
          <w:color w:val="7030A0"/>
          <w:kern w:val="0"/>
          <w:sz w:val="22"/>
          <w:szCs w:val="22"/>
          <w:lang w:eastAsia="fr-FR"/>
          <w14:ligatures w14:val="none"/>
        </w:rPr>
        <w:t>en</w:t>
      </w:r>
      <w:r w:rsidR="00C34928" w:rsidRPr="00C34928">
        <w:rPr>
          <w:rFonts w:ascii="Marianne" w:eastAsia="Times New Roman" w:hAnsi="Marianne" w:cs="Calibri"/>
          <w:color w:val="7030A0"/>
          <w:kern w:val="0"/>
          <w:sz w:val="22"/>
          <w:szCs w:val="22"/>
          <w:lang w:eastAsia="fr-FR"/>
          <w14:ligatures w14:val="none"/>
        </w:rPr>
        <w:t>t compatible</w:t>
      </w:r>
      <w:r w:rsidR="00313610">
        <w:rPr>
          <w:rFonts w:ascii="Marianne" w:eastAsia="Times New Roman" w:hAnsi="Marianne" w:cs="Calibri"/>
          <w:color w:val="7030A0"/>
          <w:kern w:val="0"/>
          <w:sz w:val="22"/>
          <w:szCs w:val="22"/>
          <w:lang w:eastAsia="fr-FR"/>
          <w14:ligatures w14:val="none"/>
        </w:rPr>
        <w:t>s</w:t>
      </w:r>
      <w:r w:rsidR="00C34928" w:rsidRPr="00C34928">
        <w:rPr>
          <w:rFonts w:ascii="Marianne" w:eastAsia="Times New Roman" w:hAnsi="Marianne" w:cs="Calibri"/>
          <w:color w:val="7030A0"/>
          <w:kern w:val="0"/>
          <w:sz w:val="22"/>
          <w:szCs w:val="22"/>
          <w:lang w:eastAsia="fr-FR"/>
          <w14:ligatures w14:val="none"/>
        </w:rPr>
        <w:t xml:space="preserve"> avec l’organisation et le fonctionnement des établissements</w:t>
      </w:r>
      <w:r w:rsidR="00C34928">
        <w:rPr>
          <w:rFonts w:ascii="Marianne" w:eastAsia="Times New Roman" w:hAnsi="Marianne" w:cs="Calibri"/>
          <w:color w:val="7030A0"/>
          <w:kern w:val="0"/>
          <w:sz w:val="22"/>
          <w:szCs w:val="22"/>
          <w:lang w:eastAsia="fr-FR"/>
          <w14:ligatures w14:val="none"/>
        </w:rPr>
        <w:t xml:space="preserve"> au quotidien</w:t>
      </w:r>
      <w:r w:rsidR="00C34928" w:rsidRPr="00C34928">
        <w:rPr>
          <w:rFonts w:ascii="Marianne" w:eastAsia="Times New Roman" w:hAnsi="Marianne" w:cs="Calibri"/>
          <w:color w:val="7030A0"/>
          <w:kern w:val="0"/>
          <w:sz w:val="22"/>
          <w:szCs w:val="22"/>
          <w:lang w:eastAsia="fr-FR"/>
          <w14:ligatures w14:val="none"/>
        </w:rPr>
        <w:t xml:space="preserve">. </w:t>
      </w:r>
    </w:p>
    <w:p w14:paraId="230B063A" w14:textId="77777777" w:rsidR="00FE7FC3" w:rsidRDefault="00FE7FC3" w:rsidP="00FB6B30">
      <w:pPr>
        <w:spacing w:after="0" w:line="240" w:lineRule="auto"/>
        <w:jc w:val="both"/>
        <w:rPr>
          <w:rFonts w:ascii="Marianne" w:eastAsia="Times New Roman" w:hAnsi="Marianne" w:cs="Calibri"/>
          <w:kern w:val="0"/>
          <w:sz w:val="22"/>
          <w:szCs w:val="22"/>
          <w:lang w:eastAsia="fr-FR"/>
          <w14:ligatures w14:val="none"/>
        </w:rPr>
      </w:pPr>
    </w:p>
    <w:p w14:paraId="6E684F3A" w14:textId="6581F1E6" w:rsidR="00FB6B30" w:rsidRPr="00C34928"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C34928">
        <w:rPr>
          <w:rFonts w:ascii="Marianne" w:eastAsia="Times New Roman" w:hAnsi="Marianne" w:cs="Calibri"/>
          <w:b/>
          <w:bCs/>
          <w:kern w:val="0"/>
          <w:sz w:val="22"/>
          <w:szCs w:val="22"/>
          <w:lang w:eastAsia="fr-FR"/>
          <w14:ligatures w14:val="none"/>
        </w:rPr>
        <w:t>Les projets croisés entre le secteur adulte et enfant sont-ils envisageables (ESAT-IME) afin de favoriser les transitions entre les deux secteurs</w:t>
      </w:r>
      <w:r w:rsidR="00C34928" w:rsidRPr="00C34928">
        <w:rPr>
          <w:rFonts w:ascii="Marianne" w:eastAsia="Times New Roman" w:hAnsi="Marianne" w:cs="Calibri"/>
          <w:b/>
          <w:bCs/>
          <w:kern w:val="0"/>
          <w:sz w:val="22"/>
          <w:szCs w:val="22"/>
          <w:lang w:eastAsia="fr-FR"/>
          <w14:ligatures w14:val="none"/>
        </w:rPr>
        <w:t>.</w:t>
      </w:r>
    </w:p>
    <w:p w14:paraId="77F9D8AA" w14:textId="77777777" w:rsidR="00C34928" w:rsidRPr="00C34928" w:rsidRDefault="00C34928" w:rsidP="00FB6B30">
      <w:pPr>
        <w:spacing w:after="0" w:line="240" w:lineRule="auto"/>
        <w:jc w:val="both"/>
        <w:rPr>
          <w:rFonts w:ascii="Marianne" w:eastAsia="Times New Roman" w:hAnsi="Marianne" w:cs="Calibri"/>
          <w:b/>
          <w:bCs/>
          <w:kern w:val="0"/>
          <w:sz w:val="22"/>
          <w:szCs w:val="22"/>
          <w:lang w:eastAsia="fr-FR"/>
          <w14:ligatures w14:val="none"/>
        </w:rPr>
      </w:pPr>
    </w:p>
    <w:p w14:paraId="7A6BA2A6" w14:textId="28021555" w:rsidR="00C34928" w:rsidRDefault="00C34928" w:rsidP="00FB6B30">
      <w:pPr>
        <w:spacing w:after="0" w:line="240" w:lineRule="auto"/>
        <w:jc w:val="both"/>
        <w:rPr>
          <w:rFonts w:ascii="Marianne" w:eastAsia="Times New Roman" w:hAnsi="Marianne" w:cs="Calibri"/>
          <w:color w:val="7030A0"/>
          <w:kern w:val="0"/>
          <w:sz w:val="22"/>
          <w:szCs w:val="22"/>
          <w:lang w:eastAsia="fr-FR"/>
          <w14:ligatures w14:val="none"/>
        </w:rPr>
      </w:pPr>
      <w:r w:rsidRPr="00C34928">
        <w:rPr>
          <w:rFonts w:ascii="Marianne" w:eastAsia="Times New Roman" w:hAnsi="Marianne" w:cs="Calibri"/>
          <w:color w:val="7030A0"/>
          <w:kern w:val="0"/>
          <w:sz w:val="22"/>
          <w:szCs w:val="22"/>
          <w:lang w:eastAsia="fr-FR"/>
          <w14:ligatures w14:val="none"/>
        </w:rPr>
        <w:t>Pour les actions portant sur les jeunes adultes relevant de l’amendement Creton, le projet devra préciser les spécificités éventuelles envisagées. L’appel à candidature vise à éviter l’hétérogénéité des projets et la porosité entre les secteurs adulte</w:t>
      </w:r>
      <w:r w:rsidR="00313610">
        <w:rPr>
          <w:rFonts w:ascii="Marianne" w:eastAsia="Times New Roman" w:hAnsi="Marianne" w:cs="Calibri"/>
          <w:color w:val="7030A0"/>
          <w:kern w:val="0"/>
          <w:sz w:val="22"/>
          <w:szCs w:val="22"/>
          <w:lang w:eastAsia="fr-FR"/>
          <w14:ligatures w14:val="none"/>
        </w:rPr>
        <w:t>s</w:t>
      </w:r>
      <w:r w:rsidRPr="00C34928">
        <w:rPr>
          <w:rFonts w:ascii="Marianne" w:eastAsia="Times New Roman" w:hAnsi="Marianne" w:cs="Calibri"/>
          <w:color w:val="7030A0"/>
          <w:kern w:val="0"/>
          <w:sz w:val="22"/>
          <w:szCs w:val="22"/>
          <w:lang w:eastAsia="fr-FR"/>
          <w14:ligatures w14:val="none"/>
        </w:rPr>
        <w:t xml:space="preserve"> et enfants. Sur ce public en situation transitoire, une analyse spécifique sera faite</w:t>
      </w:r>
      <w:r w:rsidR="00C9538E">
        <w:rPr>
          <w:rFonts w:ascii="Marianne" w:eastAsia="Times New Roman" w:hAnsi="Marianne" w:cs="Calibri"/>
          <w:color w:val="7030A0"/>
          <w:kern w:val="0"/>
          <w:sz w:val="22"/>
          <w:szCs w:val="22"/>
          <w:lang w:eastAsia="fr-FR"/>
          <w14:ligatures w14:val="none"/>
        </w:rPr>
        <w:t>.</w:t>
      </w:r>
    </w:p>
    <w:p w14:paraId="273DC8B6" w14:textId="77777777" w:rsidR="00C9538E" w:rsidRPr="00C34928" w:rsidRDefault="00C9538E" w:rsidP="00FB6B30">
      <w:pPr>
        <w:spacing w:after="0" w:line="240" w:lineRule="auto"/>
        <w:jc w:val="both"/>
        <w:rPr>
          <w:rFonts w:ascii="Marianne" w:eastAsia="Times New Roman" w:hAnsi="Marianne" w:cs="Calibri"/>
          <w:color w:val="7030A0"/>
          <w:kern w:val="0"/>
          <w:sz w:val="22"/>
          <w:szCs w:val="22"/>
          <w:lang w:eastAsia="fr-FR"/>
          <w14:ligatures w14:val="none"/>
        </w:rPr>
      </w:pPr>
    </w:p>
    <w:p w14:paraId="018C96C6" w14:textId="77777777" w:rsidR="00BB6CEE"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32BAD0F1" w14:textId="7642E8DC" w:rsidR="00FE7FC3" w:rsidRPr="00FE7FC3" w:rsidRDefault="00FE7FC3" w:rsidP="00FE7FC3">
      <w:pPr>
        <w:pBdr>
          <w:bottom w:val="single" w:sz="4" w:space="1" w:color="auto"/>
        </w:pBd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 xml:space="preserve">Financements </w:t>
      </w:r>
    </w:p>
    <w:p w14:paraId="46F10818" w14:textId="77777777" w:rsidR="00C315B4" w:rsidRPr="00911208" w:rsidRDefault="00C315B4" w:rsidP="00C7261F">
      <w:pPr>
        <w:spacing w:after="0" w:line="240" w:lineRule="auto"/>
        <w:jc w:val="both"/>
        <w:rPr>
          <w:rFonts w:ascii="Marianne" w:eastAsia="Times New Roman" w:hAnsi="Marianne" w:cs="Calibri"/>
          <w:color w:val="7030A0"/>
          <w:kern w:val="0"/>
          <w:sz w:val="22"/>
          <w:szCs w:val="22"/>
          <w:lang w:eastAsia="fr-FR"/>
          <w14:ligatures w14:val="none"/>
        </w:rPr>
      </w:pPr>
    </w:p>
    <w:p w14:paraId="1FDC35DD" w14:textId="753FE7B7" w:rsidR="00C7261F" w:rsidRPr="0091120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Nous serions intéressés par l'achat d'un vélo adapté. Est-ce que ce projet est possible? Jusqu'à combien pour du matériel? Pour information, le coût de ce vélo s'élève à 15</w:t>
      </w:r>
      <w:r w:rsidR="00D449F1" w:rsidRPr="00911208">
        <w:rPr>
          <w:rFonts w:ascii="Marianne" w:eastAsia="Times New Roman" w:hAnsi="Marianne" w:cs="Calibri"/>
          <w:b/>
          <w:bCs/>
          <w:kern w:val="0"/>
          <w:sz w:val="22"/>
          <w:szCs w:val="22"/>
          <w:lang w:eastAsia="fr-FR"/>
          <w14:ligatures w14:val="none"/>
        </w:rPr>
        <w:t xml:space="preserve"> </w:t>
      </w:r>
      <w:r w:rsidRPr="00911208">
        <w:rPr>
          <w:rFonts w:ascii="Marianne" w:eastAsia="Times New Roman" w:hAnsi="Marianne" w:cs="Calibri"/>
          <w:b/>
          <w:bCs/>
          <w:kern w:val="0"/>
          <w:sz w:val="22"/>
          <w:szCs w:val="22"/>
          <w:lang w:eastAsia="fr-FR"/>
          <w14:ligatures w14:val="none"/>
        </w:rPr>
        <w:t>000€.</w:t>
      </w:r>
    </w:p>
    <w:p w14:paraId="38A822A3" w14:textId="77777777" w:rsidR="00C05394" w:rsidRPr="00911208" w:rsidRDefault="00C05394" w:rsidP="00C7261F">
      <w:pPr>
        <w:spacing w:after="0" w:line="240" w:lineRule="auto"/>
        <w:jc w:val="both"/>
        <w:rPr>
          <w:rFonts w:ascii="Marianne" w:eastAsia="Times New Roman" w:hAnsi="Marianne" w:cs="Calibri"/>
          <w:b/>
          <w:bCs/>
          <w:kern w:val="0"/>
          <w:sz w:val="22"/>
          <w:szCs w:val="22"/>
          <w:lang w:eastAsia="fr-FR"/>
          <w14:ligatures w14:val="none"/>
        </w:rPr>
      </w:pPr>
    </w:p>
    <w:p w14:paraId="5E0B13F5" w14:textId="5D4BA5FB" w:rsidR="00C7261F" w:rsidRPr="00911208" w:rsidRDefault="00CA3378"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Sur ce type de projet, il est important de f</w:t>
      </w:r>
      <w:r w:rsidR="00C7261F" w:rsidRPr="00911208">
        <w:rPr>
          <w:rFonts w:ascii="Marianne" w:eastAsia="Times New Roman" w:hAnsi="Marianne" w:cs="Calibri"/>
          <w:color w:val="7030A0"/>
          <w:kern w:val="0"/>
          <w:sz w:val="22"/>
          <w:szCs w:val="22"/>
          <w:lang w:eastAsia="fr-FR"/>
          <w14:ligatures w14:val="none"/>
        </w:rPr>
        <w:t>ournir un devis récent</w:t>
      </w:r>
      <w:r w:rsidR="00C9538E">
        <w:rPr>
          <w:rFonts w:ascii="Marianne" w:eastAsia="Times New Roman" w:hAnsi="Marianne" w:cs="Calibri"/>
          <w:color w:val="7030A0"/>
          <w:kern w:val="0"/>
          <w:sz w:val="22"/>
          <w:szCs w:val="22"/>
          <w:lang w:eastAsia="fr-FR"/>
          <w14:ligatures w14:val="none"/>
        </w:rPr>
        <w:t xml:space="preserve"> et expliquer en quoi l’achat de matériel va contribuer au déploiement de l’activité physique.</w:t>
      </w:r>
      <w:r w:rsidR="00C7261F" w:rsidRPr="00911208">
        <w:rPr>
          <w:rFonts w:ascii="Marianne" w:eastAsia="Times New Roman" w:hAnsi="Marianne" w:cs="Calibri"/>
          <w:color w:val="7030A0"/>
          <w:kern w:val="0"/>
          <w:sz w:val="22"/>
          <w:szCs w:val="22"/>
          <w:lang w:eastAsia="fr-FR"/>
          <w14:ligatures w14:val="none"/>
        </w:rPr>
        <w:t xml:space="preserve"> </w:t>
      </w:r>
      <w:r>
        <w:rPr>
          <w:rFonts w:ascii="Marianne" w:eastAsia="Times New Roman" w:hAnsi="Marianne" w:cs="Calibri"/>
          <w:color w:val="7030A0"/>
          <w:kern w:val="0"/>
          <w:sz w:val="22"/>
          <w:szCs w:val="22"/>
          <w:lang w:eastAsia="fr-FR"/>
          <w14:ligatures w14:val="none"/>
        </w:rPr>
        <w:t>Il n’y a pa</w:t>
      </w:r>
      <w:r w:rsidR="00C7261F" w:rsidRPr="00911208">
        <w:rPr>
          <w:rFonts w:ascii="Marianne" w:eastAsia="Times New Roman" w:hAnsi="Marianne" w:cs="Calibri"/>
          <w:color w:val="7030A0"/>
          <w:kern w:val="0"/>
          <w:sz w:val="22"/>
          <w:szCs w:val="22"/>
          <w:lang w:eastAsia="fr-FR"/>
          <w14:ligatures w14:val="none"/>
        </w:rPr>
        <w:t>s d’</w:t>
      </w:r>
      <w:r w:rsidR="00313610">
        <w:rPr>
          <w:rFonts w:ascii="Marianne" w:eastAsia="Times New Roman" w:hAnsi="Marianne" w:cs="Calibri"/>
          <w:color w:val="7030A0"/>
          <w:kern w:val="0"/>
          <w:sz w:val="22"/>
          <w:szCs w:val="22"/>
          <w:lang w:eastAsia="fr-FR"/>
          <w14:ligatures w14:val="none"/>
        </w:rPr>
        <w:t>a</w:t>
      </w:r>
      <w:r w:rsidR="00C7261F" w:rsidRPr="00911208">
        <w:rPr>
          <w:rFonts w:ascii="Marianne" w:eastAsia="Times New Roman" w:hAnsi="Marianne" w:cs="Calibri"/>
          <w:color w:val="7030A0"/>
          <w:kern w:val="0"/>
          <w:sz w:val="22"/>
          <w:szCs w:val="22"/>
          <w:lang w:eastAsia="fr-FR"/>
          <w14:ligatures w14:val="none"/>
        </w:rPr>
        <w:t xml:space="preserve"> </w:t>
      </w:r>
      <w:r w:rsidR="00C7261F" w:rsidRPr="00911208">
        <w:rPr>
          <w:rFonts w:ascii="Marianne" w:eastAsia="Times New Roman" w:hAnsi="Marianne" w:cs="Calibri"/>
          <w:color w:val="7030A0"/>
          <w:kern w:val="0"/>
          <w:sz w:val="22"/>
          <w:szCs w:val="22"/>
          <w:lang w:eastAsia="fr-FR"/>
          <w14:ligatures w14:val="none"/>
        </w:rPr>
        <w:lastRenderedPageBreak/>
        <w:t>priori sur le montant mais un</w:t>
      </w:r>
      <w:r>
        <w:rPr>
          <w:rFonts w:ascii="Marianne" w:eastAsia="Times New Roman" w:hAnsi="Marianne" w:cs="Calibri"/>
          <w:color w:val="7030A0"/>
          <w:kern w:val="0"/>
          <w:sz w:val="22"/>
          <w:szCs w:val="22"/>
          <w:lang w:eastAsia="fr-FR"/>
          <w14:ligatures w14:val="none"/>
        </w:rPr>
        <w:t xml:space="preserve">e analyse sera réalisée sur le coût </w:t>
      </w:r>
      <w:r w:rsidR="007B43A6">
        <w:rPr>
          <w:rFonts w:ascii="Marianne" w:eastAsia="Times New Roman" w:hAnsi="Marianne" w:cs="Calibri"/>
          <w:color w:val="7030A0"/>
          <w:kern w:val="0"/>
          <w:sz w:val="22"/>
          <w:szCs w:val="22"/>
          <w:lang w:eastAsia="fr-FR"/>
          <w14:ligatures w14:val="none"/>
        </w:rPr>
        <w:t xml:space="preserve">du matériel </w:t>
      </w:r>
      <w:r>
        <w:rPr>
          <w:rFonts w:ascii="Marianne" w:eastAsia="Times New Roman" w:hAnsi="Marianne" w:cs="Calibri"/>
          <w:color w:val="7030A0"/>
          <w:kern w:val="0"/>
          <w:sz w:val="22"/>
          <w:szCs w:val="22"/>
          <w:lang w:eastAsia="fr-FR"/>
          <w14:ligatures w14:val="none"/>
        </w:rPr>
        <w:t xml:space="preserve">en comparaison au projet. </w:t>
      </w:r>
    </w:p>
    <w:p w14:paraId="1C21C31C" w14:textId="77777777" w:rsidR="00C7261F" w:rsidRPr="00911208"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2C34BF81" w14:textId="77777777" w:rsidR="00CA3378" w:rsidRPr="00CA3378" w:rsidRDefault="00CA3378" w:rsidP="00CA3378">
      <w:pPr>
        <w:spacing w:after="0" w:line="240" w:lineRule="auto"/>
        <w:jc w:val="both"/>
        <w:rPr>
          <w:rFonts w:ascii="Marianne" w:eastAsia="Times New Roman" w:hAnsi="Marianne" w:cs="Calibri"/>
          <w:b/>
          <w:bCs/>
          <w:kern w:val="0"/>
          <w:sz w:val="22"/>
          <w:szCs w:val="22"/>
          <w:lang w:eastAsia="fr-FR"/>
          <w14:ligatures w14:val="none"/>
        </w:rPr>
      </w:pPr>
      <w:r w:rsidRPr="00CA3378">
        <w:rPr>
          <w:rFonts w:ascii="Marianne" w:eastAsia="Times New Roman" w:hAnsi="Marianne" w:cs="Calibri"/>
          <w:b/>
          <w:bCs/>
          <w:kern w:val="0"/>
          <w:sz w:val="22"/>
          <w:szCs w:val="22"/>
          <w:lang w:eastAsia="fr-FR"/>
          <w14:ligatures w14:val="none"/>
        </w:rPr>
        <w:t>Un établissement qui a un Educateur en activités sportives adaptés dans son organigramme, qui réalise des activités tous les jours peut-il répondre à l'AAP?</w:t>
      </w:r>
    </w:p>
    <w:p w14:paraId="5951B609" w14:textId="50BE9433" w:rsidR="00C7261F"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3053680F" w14:textId="3CFF7080" w:rsidR="00313610" w:rsidRDefault="00CA3378" w:rsidP="00C7261F">
      <w:pPr>
        <w:spacing w:after="0" w:line="240" w:lineRule="auto"/>
        <w:jc w:val="both"/>
        <w:rPr>
          <w:rFonts w:ascii="Marianne" w:eastAsia="Times New Roman" w:hAnsi="Marianne" w:cs="Calibri"/>
          <w:color w:val="7030A0"/>
          <w:kern w:val="0"/>
          <w:sz w:val="22"/>
          <w:szCs w:val="22"/>
          <w:lang w:eastAsia="fr-FR"/>
          <w14:ligatures w14:val="none"/>
        </w:rPr>
      </w:pPr>
      <w:r w:rsidRPr="00CA3378">
        <w:rPr>
          <w:rFonts w:ascii="Marianne" w:eastAsia="Times New Roman" w:hAnsi="Marianne" w:cs="Calibri"/>
          <w:color w:val="7030A0"/>
          <w:kern w:val="0"/>
          <w:sz w:val="22"/>
          <w:szCs w:val="22"/>
          <w:lang w:eastAsia="fr-FR"/>
          <w14:ligatures w14:val="none"/>
        </w:rPr>
        <w:t>L’appel à candidature vise à favoriser le déploiement de l’APS au sein des ESMS</w:t>
      </w:r>
      <w:r w:rsidR="007B43A6">
        <w:rPr>
          <w:rFonts w:ascii="Marianne" w:eastAsia="Times New Roman" w:hAnsi="Marianne" w:cs="Calibri"/>
          <w:color w:val="7030A0"/>
          <w:kern w:val="0"/>
          <w:sz w:val="22"/>
          <w:szCs w:val="22"/>
          <w:lang w:eastAsia="fr-FR"/>
          <w14:ligatures w14:val="none"/>
        </w:rPr>
        <w:t xml:space="preserve"> et/</w:t>
      </w:r>
      <w:r w:rsidRPr="00CA3378">
        <w:rPr>
          <w:rFonts w:ascii="Marianne" w:eastAsia="Times New Roman" w:hAnsi="Marianne" w:cs="Calibri"/>
          <w:color w:val="7030A0"/>
          <w:kern w:val="0"/>
          <w:sz w:val="22"/>
          <w:szCs w:val="22"/>
          <w:lang w:eastAsia="fr-FR"/>
          <w14:ligatures w14:val="none"/>
        </w:rPr>
        <w:t xml:space="preserve">ou en partenariat avec les acteurs du monde sportif locaux. </w:t>
      </w:r>
      <w:r w:rsidR="00313610">
        <w:rPr>
          <w:rFonts w:ascii="Marianne" w:eastAsia="Times New Roman" w:hAnsi="Marianne" w:cs="Calibri"/>
          <w:color w:val="7030A0"/>
          <w:kern w:val="0"/>
          <w:sz w:val="22"/>
          <w:szCs w:val="22"/>
          <w:lang w:eastAsia="fr-FR"/>
          <w14:ligatures w14:val="none"/>
        </w:rPr>
        <w:t>I</w:t>
      </w:r>
      <w:r w:rsidR="00313610" w:rsidRPr="00313610">
        <w:rPr>
          <w:rFonts w:ascii="Marianne" w:eastAsia="Times New Roman" w:hAnsi="Marianne" w:cs="Calibri"/>
          <w:color w:val="7030A0"/>
          <w:kern w:val="0"/>
          <w:sz w:val="22"/>
          <w:szCs w:val="22"/>
          <w:lang w:eastAsia="fr-FR"/>
          <w14:ligatures w14:val="none"/>
        </w:rPr>
        <w:t>l ne s’agit pas de financer des postes de personnels déjà en place.</w:t>
      </w:r>
    </w:p>
    <w:p w14:paraId="3255B2A4" w14:textId="158CA1B7" w:rsidR="00FB6B30" w:rsidRPr="00CA3378" w:rsidRDefault="00FB6B30"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 xml:space="preserve">En revanche, le plan de financement peut valoriser le coût de ces moyens humains d’ores et déjà mobilisés, comme autofinancement assuré par l’ESMS impliqué sur le projet. </w:t>
      </w:r>
    </w:p>
    <w:p w14:paraId="513AF243" w14:textId="77777777" w:rsidR="00C7261F" w:rsidRPr="00911208" w:rsidRDefault="00C7261F" w:rsidP="00CA3378">
      <w:pPr>
        <w:spacing w:after="0" w:line="240" w:lineRule="auto"/>
        <w:jc w:val="both"/>
        <w:rPr>
          <w:rFonts w:ascii="Marianne" w:eastAsia="Times New Roman" w:hAnsi="Marianne" w:cs="Calibri"/>
          <w:kern w:val="0"/>
          <w:sz w:val="22"/>
          <w:szCs w:val="22"/>
          <w:lang w:eastAsia="fr-FR"/>
          <w14:ligatures w14:val="none"/>
        </w:rPr>
      </w:pPr>
    </w:p>
    <w:p w14:paraId="21C52E1C" w14:textId="4247A02C" w:rsidR="00C7261F" w:rsidRPr="00313610" w:rsidRDefault="00C34928" w:rsidP="00C7261F">
      <w:pPr>
        <w:spacing w:after="0" w:line="240" w:lineRule="auto"/>
        <w:jc w:val="both"/>
        <w:rPr>
          <w:rFonts w:ascii="Marianne" w:eastAsia="Times New Roman" w:hAnsi="Marianne" w:cs="Calibri"/>
          <w:b/>
          <w:bCs/>
          <w:kern w:val="0"/>
          <w:sz w:val="22"/>
          <w:szCs w:val="22"/>
          <w:lang w:eastAsia="fr-FR"/>
          <w14:ligatures w14:val="none"/>
        </w:rPr>
      </w:pPr>
      <w:r w:rsidRPr="00313610">
        <w:rPr>
          <w:rFonts w:ascii="Marianne" w:eastAsia="Times New Roman" w:hAnsi="Marianne" w:cs="Calibri"/>
          <w:b/>
          <w:bCs/>
          <w:kern w:val="0"/>
          <w:sz w:val="22"/>
          <w:szCs w:val="22"/>
          <w:lang w:eastAsia="fr-FR"/>
          <w14:ligatures w14:val="none"/>
        </w:rPr>
        <w:t>Les frais de personnels des référents sport ont été enlevé de ma subvention 2025, puis je connaitre la raison du coup puisque vous les intégre</w:t>
      </w:r>
      <w:r w:rsidR="007B43A6" w:rsidRPr="00313610">
        <w:rPr>
          <w:rFonts w:ascii="Marianne" w:eastAsia="Times New Roman" w:hAnsi="Marianne" w:cs="Calibri"/>
          <w:b/>
          <w:bCs/>
          <w:kern w:val="0"/>
          <w:sz w:val="22"/>
          <w:szCs w:val="22"/>
          <w:lang w:eastAsia="fr-FR"/>
          <w14:ligatures w14:val="none"/>
        </w:rPr>
        <w:t>z</w:t>
      </w:r>
      <w:r w:rsidRPr="00313610">
        <w:rPr>
          <w:rFonts w:ascii="Marianne" w:eastAsia="Times New Roman" w:hAnsi="Marianne" w:cs="Calibri"/>
          <w:b/>
          <w:bCs/>
          <w:kern w:val="0"/>
          <w:sz w:val="22"/>
          <w:szCs w:val="22"/>
          <w:lang w:eastAsia="fr-FR"/>
          <w14:ligatures w14:val="none"/>
        </w:rPr>
        <w:t xml:space="preserve"> dans les dépenses éligibles ?</w:t>
      </w:r>
    </w:p>
    <w:p w14:paraId="7582110F" w14:textId="77777777"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p>
    <w:p w14:paraId="26D022DF" w14:textId="5E86C3AE" w:rsidR="00C9538E" w:rsidRPr="00C9538E" w:rsidRDefault="0079743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L’ARS souhaite éviter</w:t>
      </w:r>
      <w:r w:rsidR="00C9538E" w:rsidRPr="00313610">
        <w:rPr>
          <w:rFonts w:ascii="Marianne" w:eastAsia="Times New Roman" w:hAnsi="Marianne" w:cs="Calibri"/>
          <w:color w:val="7030A0"/>
          <w:kern w:val="0"/>
          <w:sz w:val="22"/>
          <w:szCs w:val="22"/>
          <w:lang w:eastAsia="fr-FR"/>
          <w14:ligatures w14:val="none"/>
        </w:rPr>
        <w:t xml:space="preserve"> de financer des postes déjà en place </w:t>
      </w:r>
      <w:r w:rsidRPr="00313610">
        <w:rPr>
          <w:rFonts w:ascii="Marianne" w:eastAsia="Times New Roman" w:hAnsi="Marianne" w:cs="Calibri"/>
          <w:color w:val="7030A0"/>
          <w:kern w:val="0"/>
          <w:sz w:val="22"/>
          <w:szCs w:val="22"/>
          <w:lang w:eastAsia="fr-FR"/>
          <w14:ligatures w14:val="none"/>
        </w:rPr>
        <w:t>sur ce type de projets.</w:t>
      </w:r>
      <w:r>
        <w:rPr>
          <w:rFonts w:ascii="Marianne" w:eastAsia="Times New Roman" w:hAnsi="Marianne" w:cs="Calibri"/>
          <w:color w:val="7030A0"/>
          <w:kern w:val="0"/>
          <w:sz w:val="22"/>
          <w:szCs w:val="22"/>
          <w:lang w:eastAsia="fr-FR"/>
          <w14:ligatures w14:val="none"/>
        </w:rPr>
        <w:t xml:space="preserve"> </w:t>
      </w:r>
    </w:p>
    <w:p w14:paraId="5ED91C41" w14:textId="77777777" w:rsidR="00C9538E" w:rsidRPr="00911208" w:rsidRDefault="00C9538E" w:rsidP="00C7261F">
      <w:pPr>
        <w:spacing w:after="0" w:line="240" w:lineRule="auto"/>
        <w:jc w:val="both"/>
        <w:rPr>
          <w:rFonts w:ascii="Marianne" w:eastAsia="Times New Roman" w:hAnsi="Marianne" w:cs="Calibri"/>
          <w:kern w:val="0"/>
          <w:sz w:val="22"/>
          <w:szCs w:val="22"/>
          <w:lang w:eastAsia="fr-FR"/>
          <w14:ligatures w14:val="none"/>
        </w:rPr>
      </w:pPr>
    </w:p>
    <w:p w14:paraId="5B5E7D5B" w14:textId="77777777" w:rsidR="00C7261F" w:rsidRPr="00911208"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0876124A" w14:textId="49A1BA53" w:rsidR="00C7261F" w:rsidRPr="00C3492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C34928">
        <w:rPr>
          <w:rFonts w:ascii="Marianne" w:eastAsia="Times New Roman" w:hAnsi="Marianne" w:cs="Calibri"/>
          <w:b/>
          <w:bCs/>
          <w:kern w:val="0"/>
          <w:sz w:val="22"/>
          <w:szCs w:val="22"/>
          <w:lang w:eastAsia="fr-FR"/>
          <w14:ligatures w14:val="none"/>
        </w:rPr>
        <w:t xml:space="preserve">Notre projet a été refusé l'an passé, comment savoir ce qui n'a pas été dans notre projet afin de nous améliorer ? </w:t>
      </w:r>
      <w:r w:rsidR="00C34928">
        <w:rPr>
          <w:rFonts w:ascii="Marianne" w:eastAsia="Times New Roman" w:hAnsi="Marianne" w:cs="Calibri"/>
          <w:b/>
          <w:bCs/>
          <w:kern w:val="0"/>
          <w:sz w:val="22"/>
          <w:szCs w:val="22"/>
          <w:lang w:eastAsia="fr-FR"/>
          <w14:ligatures w14:val="none"/>
        </w:rPr>
        <w:t>N</w:t>
      </w:r>
      <w:r w:rsidRPr="00C34928">
        <w:rPr>
          <w:rFonts w:ascii="Marianne" w:eastAsia="Times New Roman" w:hAnsi="Marianne" w:cs="Calibri"/>
          <w:b/>
          <w:bCs/>
          <w:kern w:val="0"/>
          <w:sz w:val="22"/>
          <w:szCs w:val="22"/>
          <w:lang w:eastAsia="fr-FR"/>
          <w14:ligatures w14:val="none"/>
        </w:rPr>
        <w:t>ous n'avons pas eu de retour</w:t>
      </w:r>
    </w:p>
    <w:p w14:paraId="218D4A6B" w14:textId="77777777" w:rsidR="00C34928" w:rsidRDefault="00C34928" w:rsidP="00C7261F">
      <w:pPr>
        <w:spacing w:after="0" w:line="240" w:lineRule="auto"/>
        <w:jc w:val="both"/>
        <w:rPr>
          <w:rFonts w:ascii="Marianne" w:eastAsia="Times New Roman" w:hAnsi="Marianne" w:cs="Calibri"/>
          <w:kern w:val="0"/>
          <w:sz w:val="22"/>
          <w:szCs w:val="22"/>
          <w:lang w:eastAsia="fr-FR"/>
          <w14:ligatures w14:val="none"/>
        </w:rPr>
      </w:pPr>
    </w:p>
    <w:p w14:paraId="34A8570F" w14:textId="32892893" w:rsidR="00C7261F" w:rsidRPr="007B43A6" w:rsidRDefault="00C34928" w:rsidP="00C7261F">
      <w:pPr>
        <w:spacing w:after="0" w:line="240" w:lineRule="auto"/>
        <w:jc w:val="both"/>
        <w:rPr>
          <w:rFonts w:ascii="Marianne" w:eastAsia="Times New Roman" w:hAnsi="Marianne" w:cs="Calibri"/>
          <w:color w:val="7030A0"/>
          <w:kern w:val="0"/>
          <w:sz w:val="22"/>
          <w:szCs w:val="22"/>
          <w:lang w:eastAsia="fr-FR"/>
          <w14:ligatures w14:val="none"/>
        </w:rPr>
      </w:pPr>
      <w:r w:rsidRPr="007B43A6">
        <w:rPr>
          <w:rFonts w:ascii="Marianne" w:eastAsia="Times New Roman" w:hAnsi="Marianne" w:cs="Calibri"/>
          <w:color w:val="7030A0"/>
          <w:kern w:val="0"/>
          <w:sz w:val="22"/>
          <w:szCs w:val="22"/>
          <w:lang w:eastAsia="fr-FR"/>
          <w14:ligatures w14:val="none"/>
        </w:rPr>
        <w:t xml:space="preserve">L’argumentaire de refus a été détaillé dans l’application </w:t>
      </w:r>
      <w:r w:rsidR="00C7261F" w:rsidRPr="007B43A6">
        <w:rPr>
          <w:rFonts w:ascii="Marianne" w:eastAsia="Times New Roman" w:hAnsi="Marianne" w:cs="Calibri"/>
          <w:color w:val="7030A0"/>
          <w:kern w:val="0"/>
          <w:sz w:val="22"/>
          <w:szCs w:val="22"/>
          <w:lang w:eastAsia="fr-FR"/>
          <w14:ligatures w14:val="none"/>
        </w:rPr>
        <w:t>STARS FIR</w:t>
      </w:r>
    </w:p>
    <w:p w14:paraId="39209A70" w14:textId="5E1416C0" w:rsidR="00C7261F" w:rsidRPr="007B43A6" w:rsidRDefault="00C34928" w:rsidP="00C7261F">
      <w:pPr>
        <w:spacing w:after="0" w:line="240" w:lineRule="auto"/>
        <w:jc w:val="both"/>
        <w:rPr>
          <w:rFonts w:ascii="Marianne" w:eastAsia="Times New Roman" w:hAnsi="Marianne" w:cs="Calibri"/>
          <w:color w:val="7030A0"/>
          <w:kern w:val="0"/>
          <w:sz w:val="22"/>
          <w:szCs w:val="22"/>
          <w:lang w:eastAsia="fr-FR"/>
          <w14:ligatures w14:val="none"/>
        </w:rPr>
      </w:pPr>
      <w:r w:rsidRPr="007B43A6">
        <w:rPr>
          <w:rFonts w:ascii="Marianne" w:eastAsia="Times New Roman" w:hAnsi="Marianne" w:cs="Calibri"/>
          <w:color w:val="7030A0"/>
          <w:kern w:val="0"/>
          <w:sz w:val="22"/>
          <w:szCs w:val="22"/>
          <w:lang w:eastAsia="fr-FR"/>
          <w14:ligatures w14:val="none"/>
        </w:rPr>
        <w:t>Dans la négative ou si l’argumentaire apparait insuffisant, le porteur est invité à faire une demande</w:t>
      </w:r>
      <w:r w:rsidR="00C7261F" w:rsidRPr="007B43A6">
        <w:rPr>
          <w:rFonts w:ascii="Marianne" w:eastAsia="Times New Roman" w:hAnsi="Marianne" w:cs="Calibri"/>
          <w:color w:val="7030A0"/>
          <w:kern w:val="0"/>
          <w:sz w:val="22"/>
          <w:szCs w:val="22"/>
          <w:lang w:eastAsia="fr-FR"/>
          <w14:ligatures w14:val="none"/>
        </w:rPr>
        <w:t xml:space="preserve"> directe à l’ARS</w:t>
      </w:r>
      <w:r w:rsidRPr="007B43A6">
        <w:rPr>
          <w:rFonts w:ascii="Marianne" w:eastAsia="Times New Roman" w:hAnsi="Marianne" w:cs="Calibri"/>
          <w:color w:val="7030A0"/>
          <w:kern w:val="0"/>
          <w:sz w:val="22"/>
          <w:szCs w:val="22"/>
          <w:lang w:eastAsia="fr-FR"/>
          <w14:ligatures w14:val="none"/>
        </w:rPr>
        <w:t xml:space="preserve"> (</w:t>
      </w:r>
      <w:hyperlink r:id="rId5" w:history="1">
        <w:r w:rsidRPr="007B43A6">
          <w:rPr>
            <w:rStyle w:val="Lienhypertexte"/>
            <w:rFonts w:ascii="Marianne" w:eastAsia="Times New Roman" w:hAnsi="Marianne" w:cs="Calibri"/>
            <w:color w:val="7030A0"/>
            <w:kern w:val="0"/>
            <w:sz w:val="22"/>
            <w:szCs w:val="22"/>
            <w:lang w:eastAsia="fr-FR"/>
            <w14:ligatures w14:val="none"/>
          </w:rPr>
          <w:t>ars-ara-da-qualite@ars.sante.fr</w:t>
        </w:r>
      </w:hyperlink>
      <w:r w:rsidRPr="007B43A6">
        <w:rPr>
          <w:rFonts w:ascii="Marianne" w:eastAsia="Times New Roman" w:hAnsi="Marianne" w:cs="Calibri"/>
          <w:color w:val="7030A0"/>
          <w:kern w:val="0"/>
          <w:sz w:val="22"/>
          <w:szCs w:val="22"/>
          <w:lang w:eastAsia="fr-FR"/>
          <w14:ligatures w14:val="none"/>
        </w:rPr>
        <w:t>)</w:t>
      </w:r>
    </w:p>
    <w:p w14:paraId="323A5D4A" w14:textId="77777777" w:rsidR="00C34928" w:rsidRPr="00911208" w:rsidRDefault="00C34928" w:rsidP="00C7261F">
      <w:pPr>
        <w:spacing w:after="0" w:line="240" w:lineRule="auto"/>
        <w:jc w:val="both"/>
        <w:rPr>
          <w:rFonts w:ascii="Marianne" w:eastAsia="Times New Roman" w:hAnsi="Marianne" w:cs="Calibri"/>
          <w:kern w:val="0"/>
          <w:sz w:val="22"/>
          <w:szCs w:val="22"/>
          <w:lang w:eastAsia="fr-FR"/>
          <w14:ligatures w14:val="none"/>
        </w:rPr>
      </w:pPr>
    </w:p>
    <w:p w14:paraId="32D1992C" w14:textId="77777777" w:rsidR="00C7261F" w:rsidRPr="00313610"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313610">
        <w:rPr>
          <w:rFonts w:ascii="Marianne" w:eastAsia="Times New Roman" w:hAnsi="Marianne" w:cs="Calibri"/>
          <w:b/>
          <w:bCs/>
          <w:kern w:val="0"/>
          <w:sz w:val="22"/>
          <w:szCs w:val="22"/>
          <w:lang w:eastAsia="fr-FR"/>
          <w14:ligatures w14:val="none"/>
        </w:rPr>
        <w:t>A-t-on des exemples de dossiers acceptés ?</w:t>
      </w:r>
    </w:p>
    <w:p w14:paraId="0969F844" w14:textId="77777777"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p>
    <w:p w14:paraId="2A40653B" w14:textId="4F30FD18"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 xml:space="preserve">Les dossiers acceptés </w:t>
      </w:r>
      <w:r w:rsidR="00797438" w:rsidRPr="00313610">
        <w:rPr>
          <w:rFonts w:ascii="Marianne" w:eastAsia="Times New Roman" w:hAnsi="Marianne" w:cs="Calibri"/>
          <w:color w:val="7030A0"/>
          <w:kern w:val="0"/>
          <w:sz w:val="22"/>
          <w:szCs w:val="22"/>
          <w:lang w:eastAsia="fr-FR"/>
          <w14:ligatures w14:val="none"/>
        </w:rPr>
        <w:t xml:space="preserve">en 2025 </w:t>
      </w:r>
      <w:r w:rsidRPr="00313610">
        <w:rPr>
          <w:rFonts w:ascii="Marianne" w:eastAsia="Times New Roman" w:hAnsi="Marianne" w:cs="Calibri"/>
          <w:color w:val="7030A0"/>
          <w:kern w:val="0"/>
          <w:sz w:val="22"/>
          <w:szCs w:val="22"/>
          <w:lang w:eastAsia="fr-FR"/>
          <w14:ligatures w14:val="none"/>
        </w:rPr>
        <w:t>étaient conformes au cahier des charges</w:t>
      </w:r>
    </w:p>
    <w:p w14:paraId="40489D7F" w14:textId="24B262BC" w:rsid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 xml:space="preserve">Cette année l’accent a été mis sur deux actions maximum. </w:t>
      </w:r>
      <w:r w:rsidR="00313610" w:rsidRPr="00313610">
        <w:rPr>
          <w:rFonts w:ascii="Marianne" w:eastAsia="Times New Roman" w:hAnsi="Marianne" w:cs="Calibri"/>
          <w:color w:val="7030A0"/>
          <w:kern w:val="0"/>
          <w:sz w:val="22"/>
          <w:szCs w:val="22"/>
          <w:lang w:eastAsia="fr-FR"/>
          <w14:ligatures w14:val="none"/>
        </w:rPr>
        <w:t>L’ARS a souhaité un recentrage sur deux actions maximum, tant sur le secteur enfant qu’adulte. Il s’agit de bien expliquer dans chaque action les activités envisagées.</w:t>
      </w:r>
    </w:p>
    <w:p w14:paraId="2EA84303" w14:textId="77777777" w:rsidR="00313610" w:rsidRDefault="00313610" w:rsidP="00C7261F">
      <w:pPr>
        <w:spacing w:after="0" w:line="240" w:lineRule="auto"/>
        <w:jc w:val="both"/>
        <w:rPr>
          <w:rFonts w:ascii="Marianne" w:eastAsia="Times New Roman" w:hAnsi="Marianne" w:cs="Calibri"/>
          <w:color w:val="7030A0"/>
          <w:kern w:val="0"/>
          <w:sz w:val="22"/>
          <w:szCs w:val="22"/>
          <w:lang w:eastAsia="fr-FR"/>
          <w14:ligatures w14:val="none"/>
        </w:rPr>
      </w:pPr>
    </w:p>
    <w:p w14:paraId="0AB68364" w14:textId="77777777" w:rsidR="002C247A" w:rsidRDefault="002C247A" w:rsidP="00C7261F">
      <w:pPr>
        <w:spacing w:after="0" w:line="240" w:lineRule="auto"/>
        <w:jc w:val="both"/>
        <w:rPr>
          <w:rFonts w:ascii="Marianne" w:eastAsia="Times New Roman" w:hAnsi="Marianne" w:cs="Calibri"/>
          <w:color w:val="7030A0"/>
          <w:kern w:val="0"/>
          <w:sz w:val="22"/>
          <w:szCs w:val="22"/>
          <w:lang w:eastAsia="fr-FR"/>
          <w14:ligatures w14:val="none"/>
        </w:rPr>
      </w:pPr>
    </w:p>
    <w:p w14:paraId="7660312F" w14:textId="2604D49B" w:rsidR="002C247A" w:rsidRPr="002C247A" w:rsidRDefault="002C247A" w:rsidP="00C7261F">
      <w:pPr>
        <w:spacing w:after="0" w:line="240" w:lineRule="auto"/>
        <w:jc w:val="both"/>
        <w:rPr>
          <w:rFonts w:ascii="Marianne" w:eastAsia="Times New Roman" w:hAnsi="Marianne" w:cs="Calibri"/>
          <w:b/>
          <w:bCs/>
          <w:kern w:val="0"/>
          <w:sz w:val="22"/>
          <w:szCs w:val="22"/>
          <w:lang w:eastAsia="fr-FR"/>
          <w14:ligatures w14:val="none"/>
        </w:rPr>
      </w:pPr>
      <w:r w:rsidRPr="002C247A">
        <w:rPr>
          <w:rFonts w:ascii="Marianne" w:eastAsia="Times New Roman" w:hAnsi="Marianne" w:cs="Calibri"/>
          <w:b/>
          <w:bCs/>
          <w:kern w:val="0"/>
          <w:sz w:val="22"/>
          <w:szCs w:val="22"/>
          <w:lang w:eastAsia="fr-FR"/>
          <w14:ligatures w14:val="none"/>
        </w:rPr>
        <w:t>NOUVEAUTE</w:t>
      </w:r>
      <w:r w:rsidR="00ED74F3">
        <w:rPr>
          <w:rFonts w:ascii="Marianne" w:eastAsia="Times New Roman" w:hAnsi="Marianne" w:cs="Calibri"/>
          <w:b/>
          <w:bCs/>
          <w:kern w:val="0"/>
          <w:sz w:val="22"/>
          <w:szCs w:val="22"/>
          <w:lang w:eastAsia="fr-FR"/>
          <w14:ligatures w14:val="none"/>
        </w:rPr>
        <w:t xml:space="preserve"> au 20/04/2026</w:t>
      </w:r>
    </w:p>
    <w:p w14:paraId="3B321108" w14:textId="77777777" w:rsidR="002C247A" w:rsidRDefault="002C247A" w:rsidP="00C7261F">
      <w:pPr>
        <w:spacing w:after="0" w:line="240" w:lineRule="auto"/>
        <w:jc w:val="both"/>
        <w:rPr>
          <w:rFonts w:ascii="Marianne" w:eastAsia="Times New Roman" w:hAnsi="Marianne" w:cs="Calibri"/>
          <w:b/>
          <w:bCs/>
          <w:kern w:val="0"/>
          <w:sz w:val="22"/>
          <w:szCs w:val="22"/>
          <w:lang w:eastAsia="fr-FR"/>
          <w14:ligatures w14:val="none"/>
        </w:rPr>
      </w:pPr>
    </w:p>
    <w:p w14:paraId="6DDED8F5" w14:textId="3C07270F" w:rsidR="004324F2" w:rsidRDefault="004324F2" w:rsidP="00C7261F">
      <w:pPr>
        <w:spacing w:after="0" w:line="240" w:lineRule="auto"/>
        <w:jc w:val="both"/>
        <w:rPr>
          <w:rFonts w:ascii="Marianne" w:eastAsia="Times New Roman" w:hAnsi="Marianne" w:cs="Calibri"/>
          <w:b/>
          <w:bCs/>
          <w:kern w:val="0"/>
          <w:sz w:val="22"/>
          <w:szCs w:val="22"/>
          <w:lang w:eastAsia="fr-FR"/>
          <w14:ligatures w14:val="none"/>
        </w:rPr>
      </w:pPr>
      <w:r>
        <w:rPr>
          <w:rFonts w:ascii="Marianne" w:eastAsia="Times New Roman" w:hAnsi="Marianne" w:cs="Calibri"/>
          <w:b/>
          <w:bCs/>
          <w:kern w:val="0"/>
          <w:sz w:val="22"/>
          <w:szCs w:val="22"/>
          <w:lang w:eastAsia="fr-FR"/>
          <w14:ligatures w14:val="none"/>
        </w:rPr>
        <w:t xml:space="preserve">Les accueils de jour médicalisés </w:t>
      </w:r>
      <w:r w:rsidR="006019E6" w:rsidRPr="00491E3F">
        <w:rPr>
          <w:rFonts w:ascii="Marianne" w:eastAsia="Times New Roman" w:hAnsi="Marianne" w:cs="Calibri"/>
          <w:b/>
          <w:bCs/>
          <w:kern w:val="0"/>
          <w:sz w:val="22"/>
          <w:szCs w:val="22"/>
          <w:lang w:eastAsia="fr-FR"/>
          <w14:ligatures w14:val="none"/>
        </w:rPr>
        <w:t>et les établissements d’accueil non médicalisés</w:t>
      </w:r>
      <w:r w:rsidR="006019E6">
        <w:rPr>
          <w:rFonts w:ascii="Marianne" w:eastAsia="Times New Roman" w:hAnsi="Marianne" w:cs="Calibri"/>
          <w:b/>
          <w:bCs/>
          <w:kern w:val="0"/>
          <w:sz w:val="22"/>
          <w:szCs w:val="22"/>
          <w:lang w:eastAsia="fr-FR"/>
          <w14:ligatures w14:val="none"/>
        </w:rPr>
        <w:t xml:space="preserve"> </w:t>
      </w:r>
      <w:r>
        <w:rPr>
          <w:rFonts w:ascii="Marianne" w:eastAsia="Times New Roman" w:hAnsi="Marianne" w:cs="Calibri"/>
          <w:b/>
          <w:bCs/>
          <w:kern w:val="0"/>
          <w:sz w:val="22"/>
          <w:szCs w:val="22"/>
          <w:lang w:eastAsia="fr-FR"/>
          <w14:ligatures w14:val="none"/>
        </w:rPr>
        <w:t>peuvent-ils être valorisés comme partenaires du projet ?</w:t>
      </w:r>
    </w:p>
    <w:p w14:paraId="4F4AAF97" w14:textId="77777777" w:rsidR="004324F2" w:rsidRDefault="004324F2" w:rsidP="00C7261F">
      <w:pPr>
        <w:spacing w:after="0" w:line="240" w:lineRule="auto"/>
        <w:jc w:val="both"/>
        <w:rPr>
          <w:rFonts w:ascii="Marianne" w:eastAsia="Times New Roman" w:hAnsi="Marianne" w:cs="Calibri"/>
          <w:b/>
          <w:bCs/>
          <w:kern w:val="0"/>
          <w:sz w:val="22"/>
          <w:szCs w:val="22"/>
          <w:lang w:eastAsia="fr-FR"/>
          <w14:ligatures w14:val="none"/>
        </w:rPr>
      </w:pPr>
    </w:p>
    <w:p w14:paraId="0C73D236" w14:textId="3036A93C" w:rsidR="004324F2" w:rsidRPr="004324F2" w:rsidRDefault="004324F2" w:rsidP="004324F2">
      <w:pPr>
        <w:spacing w:after="0" w:line="240" w:lineRule="auto"/>
        <w:jc w:val="both"/>
        <w:rPr>
          <w:rFonts w:ascii="Marianne" w:eastAsia="Times New Roman" w:hAnsi="Marianne" w:cs="Calibri"/>
          <w:color w:val="7030A0"/>
          <w:kern w:val="0"/>
          <w:sz w:val="22"/>
          <w:szCs w:val="22"/>
          <w:lang w:eastAsia="fr-FR"/>
          <w14:ligatures w14:val="none"/>
        </w:rPr>
      </w:pPr>
      <w:r w:rsidRPr="004324F2">
        <w:rPr>
          <w:rFonts w:ascii="Marianne" w:eastAsia="Times New Roman" w:hAnsi="Marianne" w:cs="Calibri"/>
          <w:color w:val="7030A0"/>
          <w:kern w:val="0"/>
          <w:sz w:val="22"/>
          <w:szCs w:val="22"/>
          <w:lang w:eastAsia="fr-FR"/>
          <w14:ligatures w14:val="none"/>
        </w:rPr>
        <w:t>Les projets doivent impliquer des établissements d’hébergement prioritairement de type EAM/ MAS, auxquels sont ajoutés les ESAT et secondairement, pour les personnes qui seraient à domicile, les SAMSAH. L’accueil de jour ne fait pas l’objet du ciblage prévu dans le cahier des charges</w:t>
      </w:r>
      <w:r w:rsidR="006019E6" w:rsidRPr="00491E3F">
        <w:rPr>
          <w:rFonts w:ascii="Marianne" w:eastAsia="Times New Roman" w:hAnsi="Marianne" w:cs="Calibri"/>
          <w:color w:val="7030A0"/>
          <w:kern w:val="0"/>
          <w:sz w:val="22"/>
          <w:szCs w:val="22"/>
          <w:lang w:eastAsia="fr-FR"/>
          <w14:ligatures w14:val="none"/>
        </w:rPr>
        <w:t>, de même que les établissements d’accueil non médicalisés.</w:t>
      </w:r>
    </w:p>
    <w:p w14:paraId="01800B74" w14:textId="411D8E9A" w:rsidR="004324F2" w:rsidRPr="004324F2" w:rsidRDefault="004324F2" w:rsidP="004324F2">
      <w:pPr>
        <w:spacing w:after="0" w:line="240" w:lineRule="auto"/>
        <w:jc w:val="both"/>
        <w:rPr>
          <w:rFonts w:ascii="Marianne" w:eastAsia="Times New Roman" w:hAnsi="Marianne" w:cs="Calibri"/>
          <w:color w:val="7030A0"/>
          <w:kern w:val="0"/>
          <w:sz w:val="22"/>
          <w:szCs w:val="22"/>
          <w:lang w:eastAsia="fr-FR"/>
          <w14:ligatures w14:val="none"/>
        </w:rPr>
      </w:pPr>
      <w:r w:rsidRPr="004324F2">
        <w:rPr>
          <w:rFonts w:ascii="Marianne" w:eastAsia="Times New Roman" w:hAnsi="Marianne" w:cs="Calibri"/>
          <w:color w:val="7030A0"/>
          <w:kern w:val="0"/>
          <w:sz w:val="22"/>
          <w:szCs w:val="22"/>
          <w:lang w:eastAsia="fr-FR"/>
          <w14:ligatures w14:val="none"/>
        </w:rPr>
        <w:lastRenderedPageBreak/>
        <w:t xml:space="preserve">Il est important de chercher des partenariats sur le territoire et d’impliquer d’autres structures du secteur handicap, en proximité </w:t>
      </w:r>
      <w:r>
        <w:rPr>
          <w:rFonts w:ascii="Marianne" w:eastAsia="Times New Roman" w:hAnsi="Marianne" w:cs="Calibri"/>
          <w:color w:val="7030A0"/>
          <w:kern w:val="0"/>
          <w:sz w:val="22"/>
          <w:szCs w:val="22"/>
          <w:lang w:eastAsia="fr-FR"/>
          <w14:ligatures w14:val="none"/>
        </w:rPr>
        <w:t xml:space="preserve">pour </w:t>
      </w:r>
      <w:r w:rsidRPr="004324F2">
        <w:rPr>
          <w:rFonts w:ascii="Marianne" w:eastAsia="Times New Roman" w:hAnsi="Marianne" w:cs="Calibri"/>
          <w:color w:val="7030A0"/>
          <w:kern w:val="0"/>
          <w:sz w:val="22"/>
          <w:szCs w:val="22"/>
          <w:lang w:eastAsia="fr-FR"/>
          <w14:ligatures w14:val="none"/>
        </w:rPr>
        <w:t>le déploiement du projet et l’éventuel partage de ressources mobilisées dans le cadre de ce projet.</w:t>
      </w:r>
    </w:p>
    <w:p w14:paraId="2F67E992" w14:textId="77777777" w:rsidR="004324F2" w:rsidRPr="002C247A" w:rsidRDefault="004324F2" w:rsidP="00C7261F">
      <w:pPr>
        <w:spacing w:after="0" w:line="240" w:lineRule="auto"/>
        <w:jc w:val="both"/>
        <w:rPr>
          <w:rFonts w:ascii="Marianne" w:eastAsia="Times New Roman" w:hAnsi="Marianne" w:cs="Calibri"/>
          <w:b/>
          <w:bCs/>
          <w:kern w:val="0"/>
          <w:sz w:val="22"/>
          <w:szCs w:val="22"/>
          <w:lang w:eastAsia="fr-FR"/>
          <w14:ligatures w14:val="none"/>
        </w:rPr>
      </w:pPr>
    </w:p>
    <w:p w14:paraId="240C73EC" w14:textId="5F3BFD9C" w:rsidR="0099638D" w:rsidRPr="002C247A" w:rsidRDefault="002C247A" w:rsidP="00C7261F">
      <w:pPr>
        <w:spacing w:after="0" w:line="240" w:lineRule="auto"/>
        <w:jc w:val="both"/>
        <w:rPr>
          <w:rFonts w:ascii="Marianne" w:eastAsia="Times New Roman" w:hAnsi="Marianne" w:cs="Calibri"/>
          <w:b/>
          <w:bCs/>
          <w:kern w:val="0"/>
          <w:sz w:val="22"/>
          <w:szCs w:val="22"/>
          <w:lang w:eastAsia="fr-FR"/>
          <w14:ligatures w14:val="none"/>
        </w:rPr>
      </w:pPr>
      <w:r w:rsidRPr="002C247A">
        <w:rPr>
          <w:rFonts w:ascii="Marianne" w:eastAsia="Times New Roman" w:hAnsi="Marianne" w:cs="Calibri"/>
          <w:b/>
          <w:bCs/>
          <w:kern w:val="0"/>
          <w:sz w:val="22"/>
          <w:szCs w:val="22"/>
          <w:lang w:eastAsia="fr-FR"/>
          <w14:ligatures w14:val="none"/>
        </w:rPr>
        <w:t>Pouvons</w:t>
      </w:r>
      <w:r w:rsidR="004324F2">
        <w:rPr>
          <w:rFonts w:ascii="Marianne" w:eastAsia="Times New Roman" w:hAnsi="Marianne" w:cs="Calibri"/>
          <w:b/>
          <w:bCs/>
          <w:kern w:val="0"/>
          <w:sz w:val="22"/>
          <w:szCs w:val="22"/>
          <w:lang w:eastAsia="fr-FR"/>
          <w14:ligatures w14:val="none"/>
        </w:rPr>
        <w:t>-</w:t>
      </w:r>
      <w:r w:rsidRPr="002C247A">
        <w:rPr>
          <w:rFonts w:ascii="Marianne" w:eastAsia="Times New Roman" w:hAnsi="Marianne" w:cs="Calibri"/>
          <w:b/>
          <w:bCs/>
          <w:kern w:val="0"/>
          <w:sz w:val="22"/>
          <w:szCs w:val="22"/>
          <w:lang w:eastAsia="fr-FR"/>
          <w14:ligatures w14:val="none"/>
        </w:rPr>
        <w:t xml:space="preserve">nous </w:t>
      </w:r>
      <w:r>
        <w:rPr>
          <w:rFonts w:ascii="Marianne" w:eastAsia="Times New Roman" w:hAnsi="Marianne" w:cs="Calibri"/>
          <w:b/>
          <w:bCs/>
          <w:kern w:val="0"/>
          <w:sz w:val="22"/>
          <w:szCs w:val="22"/>
          <w:lang w:eastAsia="fr-FR"/>
          <w14:ligatures w14:val="none"/>
        </w:rPr>
        <w:t xml:space="preserve">valoriser dans le projet </w:t>
      </w:r>
      <w:r w:rsidRPr="002C247A">
        <w:rPr>
          <w:rFonts w:ascii="Marianne" w:eastAsia="Times New Roman" w:hAnsi="Marianne" w:cs="Calibri"/>
          <w:b/>
          <w:bCs/>
          <w:kern w:val="0"/>
          <w:sz w:val="22"/>
          <w:szCs w:val="22"/>
          <w:lang w:eastAsia="fr-FR"/>
          <w14:ligatures w14:val="none"/>
        </w:rPr>
        <w:t xml:space="preserve">des installations déjà mis en place partiellement ou totalement ? et </w:t>
      </w:r>
      <w:r>
        <w:rPr>
          <w:rFonts w:ascii="Marianne" w:eastAsia="Times New Roman" w:hAnsi="Marianne" w:cs="Calibri"/>
          <w:b/>
          <w:bCs/>
          <w:kern w:val="0"/>
          <w:sz w:val="22"/>
          <w:szCs w:val="22"/>
          <w:lang w:eastAsia="fr-FR"/>
          <w14:ligatures w14:val="none"/>
        </w:rPr>
        <w:t xml:space="preserve">mettre </w:t>
      </w:r>
      <w:r w:rsidRPr="002C247A">
        <w:rPr>
          <w:rFonts w:ascii="Marianne" w:eastAsia="Times New Roman" w:hAnsi="Marianne" w:cs="Calibri"/>
          <w:b/>
          <w:bCs/>
          <w:kern w:val="0"/>
          <w:sz w:val="22"/>
          <w:szCs w:val="22"/>
          <w:lang w:eastAsia="fr-FR"/>
          <w14:ligatures w14:val="none"/>
        </w:rPr>
        <w:t>en autofinancement ce qui est déjà installé</w:t>
      </w:r>
      <w:r>
        <w:rPr>
          <w:rFonts w:ascii="Marianne" w:eastAsia="Times New Roman" w:hAnsi="Marianne" w:cs="Calibri"/>
          <w:b/>
          <w:bCs/>
          <w:kern w:val="0"/>
          <w:sz w:val="22"/>
          <w:szCs w:val="22"/>
          <w:lang w:eastAsia="fr-FR"/>
          <w14:ligatures w14:val="none"/>
        </w:rPr>
        <w:t>, avec une demande de financement pour les aménagements futurs ?</w:t>
      </w:r>
    </w:p>
    <w:p w14:paraId="4EF22489" w14:textId="77777777" w:rsidR="002C247A" w:rsidRPr="002C247A" w:rsidRDefault="002C247A" w:rsidP="00C7261F">
      <w:pPr>
        <w:spacing w:after="0" w:line="240" w:lineRule="auto"/>
        <w:jc w:val="both"/>
        <w:rPr>
          <w:rFonts w:ascii="Marianne" w:eastAsia="Times New Roman" w:hAnsi="Marianne" w:cs="Calibri"/>
          <w:b/>
          <w:bCs/>
          <w:kern w:val="0"/>
          <w:sz w:val="22"/>
          <w:szCs w:val="22"/>
          <w:lang w:eastAsia="fr-FR"/>
          <w14:ligatures w14:val="none"/>
        </w:rPr>
      </w:pPr>
    </w:p>
    <w:p w14:paraId="0A8A2EC0" w14:textId="2FCAEC7F" w:rsidR="002C247A" w:rsidRDefault="002C247A"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Le financement ne peut pas être rétroactif sur des équipements déjà installés. Les devis doivent porter sur des actions à venir, non encore engagées.</w:t>
      </w:r>
    </w:p>
    <w:p w14:paraId="729FCB82" w14:textId="77777777" w:rsidR="002C247A" w:rsidRDefault="002C247A" w:rsidP="00C7261F">
      <w:pPr>
        <w:spacing w:after="0" w:line="240" w:lineRule="auto"/>
        <w:jc w:val="both"/>
        <w:rPr>
          <w:rFonts w:ascii="Marianne" w:eastAsia="Times New Roman" w:hAnsi="Marianne" w:cs="Calibri"/>
          <w:color w:val="7030A0"/>
          <w:kern w:val="0"/>
          <w:sz w:val="22"/>
          <w:szCs w:val="22"/>
          <w:lang w:eastAsia="fr-FR"/>
          <w14:ligatures w14:val="none"/>
        </w:rPr>
      </w:pPr>
    </w:p>
    <w:p w14:paraId="0264D943" w14:textId="1680D899" w:rsidR="002C247A" w:rsidRPr="002C247A" w:rsidRDefault="002C247A" w:rsidP="00C7261F">
      <w:pPr>
        <w:spacing w:after="0" w:line="240" w:lineRule="auto"/>
        <w:jc w:val="both"/>
        <w:rPr>
          <w:rFonts w:ascii="Marianne" w:eastAsia="Times New Roman" w:hAnsi="Marianne" w:cs="Calibri"/>
          <w:b/>
          <w:bCs/>
          <w:kern w:val="0"/>
          <w:sz w:val="22"/>
          <w:szCs w:val="22"/>
          <w:lang w:eastAsia="fr-FR"/>
          <w14:ligatures w14:val="none"/>
        </w:rPr>
      </w:pPr>
      <w:r w:rsidRPr="002C247A">
        <w:rPr>
          <w:rFonts w:ascii="Marianne" w:eastAsia="Times New Roman" w:hAnsi="Marianne" w:cs="Calibri"/>
          <w:b/>
          <w:bCs/>
          <w:kern w:val="0"/>
          <w:sz w:val="22"/>
          <w:szCs w:val="22"/>
          <w:lang w:eastAsia="fr-FR"/>
          <w14:ligatures w14:val="none"/>
        </w:rPr>
        <w:t xml:space="preserve">Les dépenses de formation / sensibilisation du personnel à l’APS </w:t>
      </w:r>
      <w:proofErr w:type="spellStart"/>
      <w:r w:rsidRPr="002C247A">
        <w:rPr>
          <w:rFonts w:ascii="Marianne" w:eastAsia="Times New Roman" w:hAnsi="Marianne" w:cs="Calibri"/>
          <w:b/>
          <w:bCs/>
          <w:kern w:val="0"/>
          <w:sz w:val="22"/>
          <w:szCs w:val="22"/>
          <w:lang w:eastAsia="fr-FR"/>
          <w14:ligatures w14:val="none"/>
        </w:rPr>
        <w:t>sont elles</w:t>
      </w:r>
      <w:proofErr w:type="spellEnd"/>
      <w:r w:rsidRPr="002C247A">
        <w:rPr>
          <w:rFonts w:ascii="Marianne" w:eastAsia="Times New Roman" w:hAnsi="Marianne" w:cs="Calibri"/>
          <w:b/>
          <w:bCs/>
          <w:kern w:val="0"/>
          <w:sz w:val="22"/>
          <w:szCs w:val="22"/>
          <w:lang w:eastAsia="fr-FR"/>
          <w14:ligatures w14:val="none"/>
        </w:rPr>
        <w:t xml:space="preserve"> éligibles ? </w:t>
      </w:r>
    </w:p>
    <w:p w14:paraId="0FD4829C" w14:textId="77777777" w:rsidR="002C247A" w:rsidRDefault="002C247A" w:rsidP="00C7261F">
      <w:pPr>
        <w:spacing w:after="0" w:line="240" w:lineRule="auto"/>
        <w:jc w:val="both"/>
        <w:rPr>
          <w:rFonts w:ascii="Marianne" w:eastAsia="Times New Roman" w:hAnsi="Marianne" w:cs="Calibri"/>
          <w:color w:val="7030A0"/>
          <w:kern w:val="0"/>
          <w:sz w:val="22"/>
          <w:szCs w:val="22"/>
          <w:lang w:eastAsia="fr-FR"/>
          <w14:ligatures w14:val="none"/>
        </w:rPr>
      </w:pPr>
    </w:p>
    <w:p w14:paraId="237AD298" w14:textId="2EA59A22" w:rsidR="002C247A" w:rsidRDefault="002C247A"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Le projet</w:t>
      </w:r>
      <w:r w:rsidR="004324F2">
        <w:rPr>
          <w:rFonts w:ascii="Marianne" w:eastAsia="Times New Roman" w:hAnsi="Marianne" w:cs="Calibri"/>
          <w:color w:val="7030A0"/>
          <w:kern w:val="0"/>
          <w:sz w:val="22"/>
          <w:szCs w:val="22"/>
          <w:lang w:eastAsia="fr-FR"/>
          <w14:ligatures w14:val="none"/>
        </w:rPr>
        <w:t xml:space="preserve"> peut</w:t>
      </w:r>
      <w:r>
        <w:rPr>
          <w:rFonts w:ascii="Marianne" w:eastAsia="Times New Roman" w:hAnsi="Marianne" w:cs="Calibri"/>
          <w:color w:val="7030A0"/>
          <w:kern w:val="0"/>
          <w:sz w:val="22"/>
          <w:szCs w:val="22"/>
          <w:lang w:eastAsia="fr-FR"/>
          <w14:ligatures w14:val="none"/>
        </w:rPr>
        <w:t xml:space="preserve"> intégrer la question de la formation / sensibilisation des professionnels</w:t>
      </w:r>
      <w:r w:rsidR="004324F2">
        <w:rPr>
          <w:rFonts w:ascii="Marianne" w:eastAsia="Times New Roman" w:hAnsi="Marianne" w:cs="Calibri"/>
          <w:color w:val="7030A0"/>
          <w:kern w:val="0"/>
          <w:sz w:val="22"/>
          <w:szCs w:val="22"/>
          <w:lang w:eastAsia="fr-FR"/>
          <w14:ligatures w14:val="none"/>
        </w:rPr>
        <w:t xml:space="preserve">. A noter que </w:t>
      </w:r>
      <w:r>
        <w:rPr>
          <w:rFonts w:ascii="Marianne" w:eastAsia="Times New Roman" w:hAnsi="Marianne" w:cs="Calibri"/>
          <w:color w:val="7030A0"/>
          <w:kern w:val="0"/>
          <w:sz w:val="22"/>
          <w:szCs w:val="22"/>
          <w:lang w:eastAsia="fr-FR"/>
          <w14:ligatures w14:val="none"/>
        </w:rPr>
        <w:t xml:space="preserve">le référent APS </w:t>
      </w:r>
      <w:r w:rsidR="004324F2">
        <w:rPr>
          <w:rFonts w:ascii="Marianne" w:eastAsia="Times New Roman" w:hAnsi="Marianne" w:cs="Calibri"/>
          <w:color w:val="7030A0"/>
          <w:kern w:val="0"/>
          <w:sz w:val="22"/>
          <w:szCs w:val="22"/>
          <w:lang w:eastAsia="fr-FR"/>
          <w14:ligatures w14:val="none"/>
        </w:rPr>
        <w:t>en</w:t>
      </w:r>
      <w:r>
        <w:rPr>
          <w:rFonts w:ascii="Marianne" w:eastAsia="Times New Roman" w:hAnsi="Marianne" w:cs="Calibri"/>
          <w:color w:val="7030A0"/>
          <w:kern w:val="0"/>
          <w:sz w:val="22"/>
          <w:szCs w:val="22"/>
          <w:lang w:eastAsia="fr-FR"/>
          <w14:ligatures w14:val="none"/>
        </w:rPr>
        <w:t xml:space="preserve"> ESMS bénéficie </w:t>
      </w:r>
      <w:r w:rsidR="004324F2">
        <w:rPr>
          <w:rFonts w:ascii="Marianne" w:eastAsia="Times New Roman" w:hAnsi="Marianne" w:cs="Calibri"/>
          <w:color w:val="7030A0"/>
          <w:kern w:val="0"/>
          <w:sz w:val="22"/>
          <w:szCs w:val="22"/>
          <w:lang w:eastAsia="fr-FR"/>
          <w14:ligatures w14:val="none"/>
        </w:rPr>
        <w:t>déjà d’un accompagnement du CPOF et du DAHLIR pour exercer ses missions</w:t>
      </w:r>
      <w:r>
        <w:rPr>
          <w:rFonts w:ascii="Marianne" w:eastAsia="Times New Roman" w:hAnsi="Marianne" w:cs="Calibri"/>
          <w:color w:val="7030A0"/>
          <w:kern w:val="0"/>
          <w:sz w:val="22"/>
          <w:szCs w:val="22"/>
          <w:lang w:eastAsia="fr-FR"/>
          <w14:ligatures w14:val="none"/>
        </w:rPr>
        <w:t xml:space="preserve">. Les dépenses de formation ne </w:t>
      </w:r>
      <w:r w:rsidR="00ED74F3">
        <w:rPr>
          <w:rFonts w:ascii="Marianne" w:eastAsia="Times New Roman" w:hAnsi="Marianne" w:cs="Calibri"/>
          <w:color w:val="7030A0"/>
          <w:kern w:val="0"/>
          <w:sz w:val="22"/>
          <w:szCs w:val="22"/>
          <w:lang w:eastAsia="fr-FR"/>
          <w14:ligatures w14:val="none"/>
        </w:rPr>
        <w:t>sont pas éligibles en revanche au financement. Elles peuvent entrer dans le cadre de l’autofinancement des ESMS.</w:t>
      </w:r>
    </w:p>
    <w:p w14:paraId="795C3202" w14:textId="77777777" w:rsidR="00ED74F3" w:rsidRDefault="00ED74F3" w:rsidP="00C7261F">
      <w:pPr>
        <w:spacing w:after="0" w:line="240" w:lineRule="auto"/>
        <w:jc w:val="both"/>
        <w:rPr>
          <w:rFonts w:ascii="Marianne" w:eastAsia="Times New Roman" w:hAnsi="Marianne" w:cs="Calibri"/>
          <w:color w:val="7030A0"/>
          <w:kern w:val="0"/>
          <w:sz w:val="22"/>
          <w:szCs w:val="22"/>
          <w:lang w:eastAsia="fr-FR"/>
          <w14:ligatures w14:val="none"/>
        </w:rPr>
      </w:pPr>
    </w:p>
    <w:p w14:paraId="0F24AB06" w14:textId="6D0D6A29" w:rsidR="00ED74F3" w:rsidRPr="00763C19" w:rsidRDefault="00ED74F3" w:rsidP="00C7261F">
      <w:pPr>
        <w:spacing w:after="0" w:line="240" w:lineRule="auto"/>
        <w:jc w:val="both"/>
        <w:rPr>
          <w:rFonts w:ascii="Marianne" w:eastAsia="Times New Roman" w:hAnsi="Marianne" w:cs="Calibri"/>
          <w:b/>
          <w:bCs/>
          <w:kern w:val="0"/>
          <w:sz w:val="22"/>
          <w:szCs w:val="22"/>
          <w:lang w:eastAsia="fr-FR"/>
          <w14:ligatures w14:val="none"/>
        </w:rPr>
      </w:pPr>
      <w:r w:rsidRPr="00763C19">
        <w:rPr>
          <w:rFonts w:ascii="Marianne" w:eastAsia="Times New Roman" w:hAnsi="Marianne" w:cs="Calibri"/>
          <w:b/>
          <w:bCs/>
          <w:kern w:val="0"/>
          <w:sz w:val="22"/>
          <w:szCs w:val="22"/>
          <w:lang w:eastAsia="fr-FR"/>
          <w14:ligatures w14:val="none"/>
        </w:rPr>
        <w:t xml:space="preserve">Quelle vigilance à avoir sur le remplissage du dossier sur STARS FIR </w:t>
      </w:r>
    </w:p>
    <w:p w14:paraId="64DA4100" w14:textId="77777777" w:rsidR="00ED74F3" w:rsidRDefault="00ED74F3" w:rsidP="00C7261F">
      <w:pPr>
        <w:spacing w:after="0" w:line="240" w:lineRule="auto"/>
        <w:jc w:val="both"/>
        <w:rPr>
          <w:rFonts w:ascii="Marianne" w:eastAsia="Times New Roman" w:hAnsi="Marianne" w:cs="Calibri"/>
          <w:color w:val="7030A0"/>
          <w:kern w:val="0"/>
          <w:sz w:val="22"/>
          <w:szCs w:val="22"/>
          <w:lang w:eastAsia="fr-FR"/>
          <w14:ligatures w14:val="none"/>
        </w:rPr>
      </w:pPr>
    </w:p>
    <w:p w14:paraId="2A16E8DF" w14:textId="1E92F89F" w:rsidR="00ED74F3" w:rsidRDefault="004324F2"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 xml:space="preserve">Le cahier des charges précise que le financement de l’ARS concerne l’exercice budgétaire 2026. Il faut donc compléter le projet avec un plan de financement sur 2026, même si les actions ont vocation à se décliner en </w:t>
      </w:r>
      <w:r w:rsidR="00ED74F3">
        <w:rPr>
          <w:rFonts w:ascii="Marianne" w:eastAsia="Times New Roman" w:hAnsi="Marianne" w:cs="Calibri"/>
          <w:color w:val="7030A0"/>
          <w:kern w:val="0"/>
          <w:sz w:val="22"/>
          <w:szCs w:val="22"/>
          <w:lang w:eastAsia="fr-FR"/>
          <w14:ligatures w14:val="none"/>
        </w:rPr>
        <w:t>2026-2027</w:t>
      </w:r>
      <w:r>
        <w:rPr>
          <w:rFonts w:ascii="Marianne" w:eastAsia="Times New Roman" w:hAnsi="Marianne" w:cs="Calibri"/>
          <w:color w:val="7030A0"/>
          <w:kern w:val="0"/>
          <w:sz w:val="22"/>
          <w:szCs w:val="22"/>
          <w:lang w:eastAsia="fr-FR"/>
          <w14:ligatures w14:val="none"/>
        </w:rPr>
        <w:t>.</w:t>
      </w:r>
    </w:p>
    <w:p w14:paraId="33CEEA27" w14:textId="77777777" w:rsidR="00763C19" w:rsidRDefault="00763C19" w:rsidP="00C7261F">
      <w:pPr>
        <w:spacing w:after="0" w:line="240" w:lineRule="auto"/>
        <w:jc w:val="both"/>
        <w:rPr>
          <w:rFonts w:ascii="Marianne" w:eastAsia="Times New Roman" w:hAnsi="Marianne" w:cs="Calibri"/>
          <w:color w:val="7030A0"/>
          <w:kern w:val="0"/>
          <w:sz w:val="22"/>
          <w:szCs w:val="22"/>
          <w:lang w:eastAsia="fr-FR"/>
          <w14:ligatures w14:val="none"/>
        </w:rPr>
      </w:pPr>
    </w:p>
    <w:p w14:paraId="3C001378" w14:textId="60BBB7ED" w:rsidR="00763C19" w:rsidRPr="00763C19" w:rsidRDefault="00763C19" w:rsidP="00C7261F">
      <w:pPr>
        <w:spacing w:after="0" w:line="240" w:lineRule="auto"/>
        <w:jc w:val="both"/>
        <w:rPr>
          <w:rFonts w:ascii="Marianne" w:eastAsia="Times New Roman" w:hAnsi="Marianne" w:cs="Calibri"/>
          <w:b/>
          <w:bCs/>
          <w:kern w:val="0"/>
          <w:sz w:val="22"/>
          <w:szCs w:val="22"/>
          <w:lang w:eastAsia="fr-FR"/>
          <w14:ligatures w14:val="none"/>
        </w:rPr>
      </w:pPr>
      <w:r w:rsidRPr="00763C19">
        <w:rPr>
          <w:rFonts w:ascii="Marianne" w:eastAsia="Times New Roman" w:hAnsi="Marianne" w:cs="Calibri"/>
          <w:b/>
          <w:bCs/>
          <w:kern w:val="0"/>
          <w:sz w:val="22"/>
          <w:szCs w:val="22"/>
          <w:lang w:eastAsia="fr-FR"/>
          <w14:ligatures w14:val="none"/>
        </w:rPr>
        <w:t>L’an dernier, l’achat de matériel ne devait pas dépasser 25% du budget total. Qu’en est-il pour l’AAC 2026 ? le cahier des charges ne dit rien et l’annexe 3 évoque ce point.</w:t>
      </w:r>
    </w:p>
    <w:p w14:paraId="46044AFE" w14:textId="77777777" w:rsidR="00491E3F" w:rsidRPr="00491E3F" w:rsidRDefault="00491E3F" w:rsidP="00491E3F">
      <w:pPr>
        <w:spacing w:after="0" w:line="240" w:lineRule="auto"/>
        <w:jc w:val="both"/>
        <w:rPr>
          <w:rFonts w:ascii="Marianne" w:eastAsia="Aptos" w:hAnsi="Marianne" w:cs="Aptos"/>
          <w:color w:val="7030A0"/>
          <w:kern w:val="0"/>
          <w:sz w:val="22"/>
          <w:szCs w:val="22"/>
          <w:lang w:eastAsia="fr-FR"/>
          <w14:ligatures w14:val="none"/>
        </w:rPr>
      </w:pPr>
    </w:p>
    <w:p w14:paraId="2DBDCE96" w14:textId="77777777" w:rsidR="00491E3F" w:rsidRPr="00491E3F" w:rsidRDefault="00491E3F" w:rsidP="00491E3F">
      <w:pPr>
        <w:spacing w:after="0" w:line="240" w:lineRule="auto"/>
        <w:jc w:val="both"/>
        <w:rPr>
          <w:rFonts w:ascii="Marianne" w:eastAsia="Aptos" w:hAnsi="Marianne" w:cs="Aptos"/>
          <w:color w:val="7030A0"/>
          <w:kern w:val="0"/>
          <w:sz w:val="22"/>
          <w:szCs w:val="22"/>
          <w:lang w:eastAsia="fr-FR"/>
          <w14:ligatures w14:val="none"/>
        </w:rPr>
      </w:pPr>
      <w:r w:rsidRPr="00491E3F">
        <w:rPr>
          <w:rFonts w:ascii="Marianne" w:eastAsia="Aptos" w:hAnsi="Marianne" w:cs="Aptos"/>
          <w:color w:val="7030A0"/>
          <w:kern w:val="0"/>
          <w:sz w:val="22"/>
          <w:szCs w:val="22"/>
          <w:lang w:eastAsia="fr-FR"/>
          <w14:ligatures w14:val="none"/>
        </w:rPr>
        <w:t>Le financement apporté dans le cadre de l’AAC vise à soutenir la mobilisation d’intervenants du monde sportif dans l’accompagnement des personnes sur l’activité physique et sportive, dans le cadre d’une démarche inclusive. Il est accepté, dans la limite de 25% du budget total de l’action, le financement de matériel permettant la réalisation de l’action. Le matériel doit être à disposition des ESMS partenaires dans le cadre du projet présenté. Le financement de véhicules n’est pas retenu.  </w:t>
      </w:r>
    </w:p>
    <w:p w14:paraId="6E3C2D8E" w14:textId="77777777" w:rsidR="0099638D" w:rsidRDefault="0099638D" w:rsidP="00C7261F">
      <w:pPr>
        <w:spacing w:after="0" w:line="240" w:lineRule="auto"/>
        <w:jc w:val="both"/>
        <w:rPr>
          <w:rFonts w:ascii="Marianne" w:eastAsia="Times New Roman" w:hAnsi="Marianne" w:cs="Calibri"/>
          <w:color w:val="7030A0"/>
          <w:kern w:val="0"/>
          <w:sz w:val="22"/>
          <w:szCs w:val="22"/>
          <w:lang w:eastAsia="fr-FR"/>
          <w14:ligatures w14:val="none"/>
        </w:rPr>
      </w:pPr>
    </w:p>
    <w:p w14:paraId="20EC11E2" w14:textId="77777777" w:rsidR="00763C19" w:rsidRPr="00313610" w:rsidRDefault="00763C19" w:rsidP="00C7261F">
      <w:pPr>
        <w:spacing w:after="0" w:line="240" w:lineRule="auto"/>
        <w:jc w:val="both"/>
        <w:rPr>
          <w:rFonts w:ascii="Marianne" w:eastAsia="Times New Roman" w:hAnsi="Marianne" w:cs="Calibri"/>
          <w:color w:val="7030A0"/>
          <w:kern w:val="0"/>
          <w:sz w:val="22"/>
          <w:szCs w:val="22"/>
          <w:lang w:eastAsia="fr-FR"/>
          <w14:ligatures w14:val="none"/>
        </w:rPr>
      </w:pPr>
    </w:p>
    <w:p w14:paraId="2090A4F6" w14:textId="314344FE" w:rsidR="00DA2487" w:rsidRPr="00313610" w:rsidRDefault="00DA2487" w:rsidP="00D5261D">
      <w:pPr>
        <w:rPr>
          <w:rFonts w:ascii="Marianne" w:eastAsia="Aptos" w:hAnsi="Marianne" w:cs="Times New Roman"/>
          <w:sz w:val="22"/>
          <w:szCs w:val="22"/>
        </w:rPr>
      </w:pPr>
      <w:r w:rsidRPr="00313610">
        <w:rPr>
          <w:rFonts w:ascii="Marianne" w:eastAsia="Aptos" w:hAnsi="Marianne" w:cs="Times New Roman"/>
          <w:sz w:val="22"/>
          <w:szCs w:val="22"/>
        </w:rPr>
        <w:t xml:space="preserve">Pour toutes question complémentaire sur cet AAC, vous pouvez interroger l’ARS </w:t>
      </w:r>
      <w:r w:rsidR="009D2E17">
        <w:rPr>
          <w:rFonts w:ascii="Marianne" w:eastAsia="Aptos" w:hAnsi="Marianne" w:cs="Times New Roman"/>
          <w:sz w:val="22"/>
          <w:szCs w:val="22"/>
        </w:rPr>
        <w:t>à l’adresse suivante</w:t>
      </w:r>
      <w:r w:rsidRPr="00313610">
        <w:rPr>
          <w:rFonts w:ascii="Marianne" w:eastAsia="Aptos" w:hAnsi="Marianne" w:cs="Times New Roman"/>
          <w:sz w:val="22"/>
          <w:szCs w:val="22"/>
        </w:rPr>
        <w:t xml:space="preserve"> : </w:t>
      </w:r>
    </w:p>
    <w:p w14:paraId="17537BFA" w14:textId="4B1D9CEB" w:rsidR="00C7261F" w:rsidRPr="00313610" w:rsidRDefault="00DA2487" w:rsidP="00D5261D">
      <w:hyperlink r:id="rId6" w:history="1">
        <w:r w:rsidRPr="00313610">
          <w:rPr>
            <w:rStyle w:val="Lienhypertexte"/>
            <w:rFonts w:ascii="Marianne" w:eastAsia="Times New Roman" w:hAnsi="Marianne" w:cs="Calibri"/>
            <w:color w:val="auto"/>
            <w:kern w:val="0"/>
            <w:sz w:val="22"/>
            <w:szCs w:val="22"/>
            <w:lang w:eastAsia="fr-FR"/>
            <w14:ligatures w14:val="none"/>
          </w:rPr>
          <w:t>ars-ara-da-qualite@ars.sante.fr</w:t>
        </w:r>
      </w:hyperlink>
    </w:p>
    <w:p w14:paraId="586B5310" w14:textId="1D887C2F" w:rsidR="00DA2487" w:rsidRPr="00313610" w:rsidRDefault="00DA2487" w:rsidP="00D5261D">
      <w:pPr>
        <w:rPr>
          <w:rFonts w:ascii="Marianne" w:eastAsia="Aptos" w:hAnsi="Marianne" w:cs="Times New Roman"/>
          <w:sz w:val="22"/>
          <w:szCs w:val="22"/>
        </w:rPr>
      </w:pPr>
    </w:p>
    <w:sectPr w:rsidR="00DA2487" w:rsidRPr="00313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70D38"/>
    <w:multiLevelType w:val="hybridMultilevel"/>
    <w:tmpl w:val="75A6D1EA"/>
    <w:lvl w:ilvl="0" w:tplc="6F024390">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F55C7D"/>
    <w:multiLevelType w:val="hybridMultilevel"/>
    <w:tmpl w:val="F6AE15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CD83F93"/>
    <w:multiLevelType w:val="multilevel"/>
    <w:tmpl w:val="7DAE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317956">
    <w:abstractNumId w:val="2"/>
  </w:num>
  <w:num w:numId="2" w16cid:durableId="1110465599">
    <w:abstractNumId w:val="1"/>
  </w:num>
  <w:num w:numId="3" w16cid:durableId="182866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C5"/>
    <w:rsid w:val="00043720"/>
    <w:rsid w:val="000D1CD4"/>
    <w:rsid w:val="001565CF"/>
    <w:rsid w:val="001D47C5"/>
    <w:rsid w:val="0027502E"/>
    <w:rsid w:val="002C247A"/>
    <w:rsid w:val="002E351F"/>
    <w:rsid w:val="00313610"/>
    <w:rsid w:val="0033266C"/>
    <w:rsid w:val="004324F2"/>
    <w:rsid w:val="00460D78"/>
    <w:rsid w:val="00491E3F"/>
    <w:rsid w:val="005949CA"/>
    <w:rsid w:val="006019E6"/>
    <w:rsid w:val="006561A9"/>
    <w:rsid w:val="006B5FFB"/>
    <w:rsid w:val="00763C19"/>
    <w:rsid w:val="00797438"/>
    <w:rsid w:val="007B43A6"/>
    <w:rsid w:val="008029EB"/>
    <w:rsid w:val="00864FCF"/>
    <w:rsid w:val="00911208"/>
    <w:rsid w:val="0099638D"/>
    <w:rsid w:val="009B7ACA"/>
    <w:rsid w:val="009D2E17"/>
    <w:rsid w:val="00A963A4"/>
    <w:rsid w:val="00AB15D7"/>
    <w:rsid w:val="00AB5956"/>
    <w:rsid w:val="00BB6CEE"/>
    <w:rsid w:val="00BE54DD"/>
    <w:rsid w:val="00C05394"/>
    <w:rsid w:val="00C315B4"/>
    <w:rsid w:val="00C34928"/>
    <w:rsid w:val="00C36CAF"/>
    <w:rsid w:val="00C7261F"/>
    <w:rsid w:val="00C9538E"/>
    <w:rsid w:val="00CA3378"/>
    <w:rsid w:val="00CB368D"/>
    <w:rsid w:val="00D449F1"/>
    <w:rsid w:val="00D5261D"/>
    <w:rsid w:val="00DA2487"/>
    <w:rsid w:val="00E57CE8"/>
    <w:rsid w:val="00E60849"/>
    <w:rsid w:val="00EA1133"/>
    <w:rsid w:val="00ED2CF2"/>
    <w:rsid w:val="00ED4E9C"/>
    <w:rsid w:val="00ED74F3"/>
    <w:rsid w:val="00F25FCC"/>
    <w:rsid w:val="00F267A6"/>
    <w:rsid w:val="00F40BD6"/>
    <w:rsid w:val="00FB6B30"/>
    <w:rsid w:val="00FE7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590"/>
  <w15:chartTrackingRefBased/>
  <w15:docId w15:val="{7E39E318-AD9C-4595-80A3-DDE85671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4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4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47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47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47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47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7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7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7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7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47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47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47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47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47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7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7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7C5"/>
    <w:rPr>
      <w:rFonts w:eastAsiaTheme="majorEastAsia" w:cstheme="majorBidi"/>
      <w:color w:val="272727" w:themeColor="text1" w:themeTint="D8"/>
    </w:rPr>
  </w:style>
  <w:style w:type="paragraph" w:styleId="Titre">
    <w:name w:val="Title"/>
    <w:basedOn w:val="Normal"/>
    <w:next w:val="Normal"/>
    <w:link w:val="TitreCar"/>
    <w:uiPriority w:val="10"/>
    <w:qFormat/>
    <w:rsid w:val="001D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7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7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7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7C5"/>
    <w:pPr>
      <w:spacing w:before="160"/>
      <w:jc w:val="center"/>
    </w:pPr>
    <w:rPr>
      <w:i/>
      <w:iCs/>
      <w:color w:val="404040" w:themeColor="text1" w:themeTint="BF"/>
    </w:rPr>
  </w:style>
  <w:style w:type="character" w:customStyle="1" w:styleId="CitationCar">
    <w:name w:val="Citation Car"/>
    <w:basedOn w:val="Policepardfaut"/>
    <w:link w:val="Citation"/>
    <w:uiPriority w:val="29"/>
    <w:rsid w:val="001D47C5"/>
    <w:rPr>
      <w:i/>
      <w:iCs/>
      <w:color w:val="404040" w:themeColor="text1" w:themeTint="BF"/>
    </w:rPr>
  </w:style>
  <w:style w:type="paragraph" w:styleId="Paragraphedeliste">
    <w:name w:val="List Paragraph"/>
    <w:basedOn w:val="Normal"/>
    <w:uiPriority w:val="34"/>
    <w:qFormat/>
    <w:rsid w:val="001D47C5"/>
    <w:pPr>
      <w:ind w:left="720"/>
      <w:contextualSpacing/>
    </w:pPr>
  </w:style>
  <w:style w:type="character" w:styleId="Accentuationintense">
    <w:name w:val="Intense Emphasis"/>
    <w:basedOn w:val="Policepardfaut"/>
    <w:uiPriority w:val="21"/>
    <w:qFormat/>
    <w:rsid w:val="001D47C5"/>
    <w:rPr>
      <w:i/>
      <w:iCs/>
      <w:color w:val="0F4761" w:themeColor="accent1" w:themeShade="BF"/>
    </w:rPr>
  </w:style>
  <w:style w:type="paragraph" w:styleId="Citationintense">
    <w:name w:val="Intense Quote"/>
    <w:basedOn w:val="Normal"/>
    <w:next w:val="Normal"/>
    <w:link w:val="CitationintenseCar"/>
    <w:uiPriority w:val="30"/>
    <w:qFormat/>
    <w:rsid w:val="001D4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47C5"/>
    <w:rPr>
      <w:i/>
      <w:iCs/>
      <w:color w:val="0F4761" w:themeColor="accent1" w:themeShade="BF"/>
    </w:rPr>
  </w:style>
  <w:style w:type="character" w:styleId="Rfrenceintense">
    <w:name w:val="Intense Reference"/>
    <w:basedOn w:val="Policepardfaut"/>
    <w:uiPriority w:val="32"/>
    <w:qFormat/>
    <w:rsid w:val="001D47C5"/>
    <w:rPr>
      <w:b/>
      <w:bCs/>
      <w:smallCaps/>
      <w:color w:val="0F4761" w:themeColor="accent1" w:themeShade="BF"/>
      <w:spacing w:val="5"/>
    </w:rPr>
  </w:style>
  <w:style w:type="character" w:styleId="Lienhypertexte">
    <w:name w:val="Hyperlink"/>
    <w:basedOn w:val="Policepardfaut"/>
    <w:uiPriority w:val="99"/>
    <w:unhideWhenUsed/>
    <w:rsid w:val="00C34928"/>
    <w:rPr>
      <w:color w:val="467886" w:themeColor="hyperlink"/>
      <w:u w:val="single"/>
    </w:rPr>
  </w:style>
  <w:style w:type="character" w:styleId="Mentionnonrsolue">
    <w:name w:val="Unresolved Mention"/>
    <w:basedOn w:val="Policepardfaut"/>
    <w:uiPriority w:val="99"/>
    <w:semiHidden/>
    <w:unhideWhenUsed/>
    <w:rsid w:val="00C34928"/>
    <w:rPr>
      <w:color w:val="605E5C"/>
      <w:shd w:val="clear" w:color="auto" w:fill="E1DFDD"/>
    </w:rPr>
  </w:style>
  <w:style w:type="character" w:styleId="Marquedecommentaire">
    <w:name w:val="annotation reference"/>
    <w:basedOn w:val="Policepardfaut"/>
    <w:uiPriority w:val="99"/>
    <w:semiHidden/>
    <w:unhideWhenUsed/>
    <w:rsid w:val="00F40BD6"/>
    <w:rPr>
      <w:sz w:val="16"/>
      <w:szCs w:val="16"/>
    </w:rPr>
  </w:style>
  <w:style w:type="paragraph" w:styleId="Commentaire">
    <w:name w:val="annotation text"/>
    <w:basedOn w:val="Normal"/>
    <w:link w:val="CommentaireCar"/>
    <w:uiPriority w:val="99"/>
    <w:unhideWhenUsed/>
    <w:rsid w:val="00F40BD6"/>
    <w:pPr>
      <w:spacing w:line="240" w:lineRule="auto"/>
    </w:pPr>
    <w:rPr>
      <w:sz w:val="20"/>
      <w:szCs w:val="20"/>
    </w:rPr>
  </w:style>
  <w:style w:type="character" w:customStyle="1" w:styleId="CommentaireCar">
    <w:name w:val="Commentaire Car"/>
    <w:basedOn w:val="Policepardfaut"/>
    <w:link w:val="Commentaire"/>
    <w:uiPriority w:val="99"/>
    <w:rsid w:val="00F40BD6"/>
    <w:rPr>
      <w:sz w:val="20"/>
      <w:szCs w:val="20"/>
    </w:rPr>
  </w:style>
  <w:style w:type="paragraph" w:styleId="Objetducommentaire">
    <w:name w:val="annotation subject"/>
    <w:basedOn w:val="Commentaire"/>
    <w:next w:val="Commentaire"/>
    <w:link w:val="ObjetducommentaireCar"/>
    <w:uiPriority w:val="99"/>
    <w:semiHidden/>
    <w:unhideWhenUsed/>
    <w:rsid w:val="00F40BD6"/>
    <w:rPr>
      <w:b/>
      <w:bCs/>
    </w:rPr>
  </w:style>
  <w:style w:type="character" w:customStyle="1" w:styleId="ObjetducommentaireCar">
    <w:name w:val="Objet du commentaire Car"/>
    <w:basedOn w:val="CommentaireCar"/>
    <w:link w:val="Objetducommentaire"/>
    <w:uiPriority w:val="99"/>
    <w:semiHidden/>
    <w:rsid w:val="00F40BD6"/>
    <w:rPr>
      <w:b/>
      <w:bCs/>
      <w:sz w:val="20"/>
      <w:szCs w:val="20"/>
    </w:rPr>
  </w:style>
  <w:style w:type="paragraph" w:customStyle="1" w:styleId="pf0">
    <w:name w:val="pf0"/>
    <w:basedOn w:val="Normal"/>
    <w:rsid w:val="0031361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f01">
    <w:name w:val="cf01"/>
    <w:basedOn w:val="Policepardfaut"/>
    <w:rsid w:val="003136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1792">
      <w:bodyDiv w:val="1"/>
      <w:marLeft w:val="0"/>
      <w:marRight w:val="0"/>
      <w:marTop w:val="0"/>
      <w:marBottom w:val="0"/>
      <w:divBdr>
        <w:top w:val="none" w:sz="0" w:space="0" w:color="auto"/>
        <w:left w:val="none" w:sz="0" w:space="0" w:color="auto"/>
        <w:bottom w:val="none" w:sz="0" w:space="0" w:color="auto"/>
        <w:right w:val="none" w:sz="0" w:space="0" w:color="auto"/>
      </w:divBdr>
    </w:div>
    <w:div w:id="216280467">
      <w:bodyDiv w:val="1"/>
      <w:marLeft w:val="0"/>
      <w:marRight w:val="0"/>
      <w:marTop w:val="0"/>
      <w:marBottom w:val="0"/>
      <w:divBdr>
        <w:top w:val="none" w:sz="0" w:space="0" w:color="auto"/>
        <w:left w:val="none" w:sz="0" w:space="0" w:color="auto"/>
        <w:bottom w:val="none" w:sz="0" w:space="0" w:color="auto"/>
        <w:right w:val="none" w:sz="0" w:space="0" w:color="auto"/>
      </w:divBdr>
    </w:div>
    <w:div w:id="239563578">
      <w:bodyDiv w:val="1"/>
      <w:marLeft w:val="0"/>
      <w:marRight w:val="0"/>
      <w:marTop w:val="0"/>
      <w:marBottom w:val="0"/>
      <w:divBdr>
        <w:top w:val="none" w:sz="0" w:space="0" w:color="auto"/>
        <w:left w:val="none" w:sz="0" w:space="0" w:color="auto"/>
        <w:bottom w:val="none" w:sz="0" w:space="0" w:color="auto"/>
        <w:right w:val="none" w:sz="0" w:space="0" w:color="auto"/>
      </w:divBdr>
    </w:div>
    <w:div w:id="954025717">
      <w:bodyDiv w:val="1"/>
      <w:marLeft w:val="0"/>
      <w:marRight w:val="0"/>
      <w:marTop w:val="0"/>
      <w:marBottom w:val="0"/>
      <w:divBdr>
        <w:top w:val="none" w:sz="0" w:space="0" w:color="auto"/>
        <w:left w:val="none" w:sz="0" w:space="0" w:color="auto"/>
        <w:bottom w:val="none" w:sz="0" w:space="0" w:color="auto"/>
        <w:right w:val="none" w:sz="0" w:space="0" w:color="auto"/>
      </w:divBdr>
    </w:div>
    <w:div w:id="1573589255">
      <w:bodyDiv w:val="1"/>
      <w:marLeft w:val="0"/>
      <w:marRight w:val="0"/>
      <w:marTop w:val="0"/>
      <w:marBottom w:val="0"/>
      <w:divBdr>
        <w:top w:val="none" w:sz="0" w:space="0" w:color="auto"/>
        <w:left w:val="none" w:sz="0" w:space="0" w:color="auto"/>
        <w:bottom w:val="none" w:sz="0" w:space="0" w:color="auto"/>
        <w:right w:val="none" w:sz="0" w:space="0" w:color="auto"/>
      </w:divBdr>
    </w:div>
    <w:div w:id="1590850376">
      <w:bodyDiv w:val="1"/>
      <w:marLeft w:val="0"/>
      <w:marRight w:val="0"/>
      <w:marTop w:val="0"/>
      <w:marBottom w:val="0"/>
      <w:divBdr>
        <w:top w:val="none" w:sz="0" w:space="0" w:color="auto"/>
        <w:left w:val="none" w:sz="0" w:space="0" w:color="auto"/>
        <w:bottom w:val="none" w:sz="0" w:space="0" w:color="auto"/>
        <w:right w:val="none" w:sz="0" w:space="0" w:color="auto"/>
      </w:divBdr>
    </w:div>
    <w:div w:id="162210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ara-da-qualite@ars.sante.fr" TargetMode="External"/><Relationship Id="rId5" Type="http://schemas.openxmlformats.org/officeDocument/2006/relationships/hyperlink" Target="mailto:ars-ara-da-qualite@ars.san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1964</Words>
  <Characters>10808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PELOTIER, Sylvie (ARS-ARA)</dc:creator>
  <cp:keywords/>
  <dc:description/>
  <cp:lastModifiedBy>PELOTIER, Sylvie (ARS-ARA)</cp:lastModifiedBy>
  <cp:revision>3</cp:revision>
  <dcterms:created xsi:type="dcterms:W3CDTF">2026-04-20T13:52:00Z</dcterms:created>
  <dcterms:modified xsi:type="dcterms:W3CDTF">2026-04-21T06:55:00Z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2026-03-20T14:05:37Z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cc2430e8-33a8-4216-837d-cc65db897c08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