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33" w:rsidRDefault="00D56633" w:rsidP="00D56633">
      <w:pPr>
        <w:pStyle w:val="Titre1"/>
        <w:ind w:right="-995"/>
        <w:jc w:val="left"/>
        <w:rPr>
          <w:rFonts w:ascii="Century Gothic" w:hAnsi="Century Gothic"/>
        </w:rPr>
      </w:pPr>
      <w:r>
        <w:rPr>
          <w:noProof/>
        </w:rPr>
        <mc:AlternateContent>
          <mc:Choice Requires="wpg">
            <w:drawing>
              <wp:anchor distT="0" distB="0" distL="114300" distR="114300" simplePos="0" relativeHeight="251660288" behindDoc="0" locked="0" layoutInCell="1" allowOverlap="1">
                <wp:simplePos x="0" y="0"/>
                <wp:positionH relativeFrom="column">
                  <wp:posOffset>-383430</wp:posOffset>
                </wp:positionH>
                <wp:positionV relativeFrom="paragraph">
                  <wp:posOffset>-41330</wp:posOffset>
                </wp:positionV>
                <wp:extent cx="7403465" cy="71755"/>
                <wp:effectExtent l="0" t="0" r="26035" b="23495"/>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3465" cy="71755"/>
                          <a:chOff x="0" y="0"/>
                          <a:chExt cx="7403910" cy="71755"/>
                        </a:xfrm>
                      </wpg:grpSpPr>
                      <wps:wsp>
                        <wps:cNvPr id="12" name="Rectangle 2"/>
                        <wps:cNvSpPr>
                          <a:spLocks noChangeArrowheads="1"/>
                        </wps:cNvSpPr>
                        <wps:spPr bwMode="auto">
                          <a:xfrm>
                            <a:off x="0" y="0"/>
                            <a:ext cx="473245"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s:wsp>
                        <wps:cNvPr id="14" name="Rectangle 2"/>
                        <wps:cNvSpPr>
                          <a:spLocks noChangeArrowheads="1"/>
                        </wps:cNvSpPr>
                        <wps:spPr bwMode="auto">
                          <a:xfrm>
                            <a:off x="518615" y="0"/>
                            <a:ext cx="131445" cy="71755"/>
                          </a:xfrm>
                          <a:prstGeom prst="rect">
                            <a:avLst/>
                          </a:prstGeom>
                          <a:solidFill>
                            <a:srgbClr val="E54334"/>
                          </a:solidFill>
                          <a:ln w="9525">
                            <a:solidFill>
                              <a:srgbClr val="E54334"/>
                            </a:solidFill>
                            <a:miter lim="800000"/>
                            <a:headEnd/>
                            <a:tailEnd/>
                          </a:ln>
                        </wps:spPr>
                        <wps:bodyPr rot="0" vert="horz" wrap="square" lIns="91440" tIns="45720" rIns="91440" bIns="45720" anchor="t" anchorCtr="0" upright="1">
                          <a:noAutofit/>
                        </wps:bodyPr>
                      </wps:wsp>
                      <wps:wsp>
                        <wps:cNvPr id="15" name="Rectangle 2"/>
                        <wps:cNvSpPr>
                          <a:spLocks noChangeArrowheads="1"/>
                        </wps:cNvSpPr>
                        <wps:spPr bwMode="auto">
                          <a:xfrm>
                            <a:off x="4899546" y="0"/>
                            <a:ext cx="2504364" cy="71755"/>
                          </a:xfrm>
                          <a:prstGeom prst="rect">
                            <a:avLst/>
                          </a:prstGeom>
                          <a:solidFill>
                            <a:srgbClr val="C8D223"/>
                          </a:solidFill>
                          <a:ln w="9525">
                            <a:solidFill>
                              <a:srgbClr val="C8D223"/>
                            </a:solidFill>
                            <a:miter lim="800000"/>
                            <a:headEnd/>
                            <a:tailEnd/>
                          </a:ln>
                        </wps:spPr>
                        <wps:bodyPr rot="0" vert="horz" wrap="square" lIns="91440" tIns="45720" rIns="91440" bIns="45720" anchor="t" anchorCtr="0" upright="1">
                          <a:noAutofit/>
                        </wps:bodyPr>
                      </wps:wsp>
                      <wps:wsp>
                        <wps:cNvPr id="16" name="Rectangle 2"/>
                        <wps:cNvSpPr>
                          <a:spLocks noChangeArrowheads="1"/>
                        </wps:cNvSpPr>
                        <wps:spPr bwMode="auto">
                          <a:xfrm>
                            <a:off x="702860" y="0"/>
                            <a:ext cx="4140000"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1" o:spid="_x0000_s1026" style="position:absolute;margin-left:-30.2pt;margin-top:-3.25pt;width:582.95pt;height:5.65pt;z-index:251660288" coordsize="7403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">
                <v:rect id="Rectangle 2" o:spid="_x0000_s1027" style="position:absolute;width:4732;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0s8EA&#10;AADbAAAADwAAAGRycy9kb3ducmV2LnhtbERPTWsCMRC9F/ofwhS81awrLbI1ihQELx6qK3gcNtPN&#10;4maSJtHd9tc3BaG3ebzPWa5H24sbhdg5VjCbFiCIG6c7bhXUx+3zAkRMyBp7x6TgmyKsV48PS6y0&#10;G/iDbofUihzCsUIFJiVfSRkbQxbj1HnizH26YDFlGFqpAw453PayLIpXabHj3GDQ07uh5nK4WgX7&#10;nxc8ledFPR/rYPqvsx/44pWaPI2bNxCJxvQvvrt3Os8v4e+Xf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atLPBAAAA2wAAAA8AAAAAAAAAAAAAAAAAmAIAAGRycy9kb3du&#10;cmV2LnhtbFBLBQYAAAAABAAEAPUAAACGAwAAAAA=&#10;" fillcolor="#3c4693" strokecolor="#3c4693"/>
                <v:rect id="Rectangle 2" o:spid="_x0000_s1028" style="position:absolute;left:5186;width:131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McAA&#10;AADbAAAADwAAAGRycy9kb3ducmV2LnhtbERPzYrCMBC+L/gOYQRva9JFV6nGUgriHrys+gBDM7bF&#10;ZlKaaLs+vVlY2Nt8fL+zzUbbigf1vnGsIZkrEMSlMw1XGi7n/fsahA/IBlvHpOGHPGS7ydsWU+MG&#10;/qbHKVQihrBPUUMdQpdK6cuaLPq564gjd3W9xRBhX0nT4xDDbSs/lPqUFhuODTV2VNRU3k53qyE/&#10;Lp/FWCnl1qvDolFDcvVmr/VsOuYbEIHG8C/+c3+ZOH8Bv7/EA+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BMcAAAADbAAAADwAAAAAAAAAAAAAAAACYAgAAZHJzL2Rvd25y&#10;ZXYueG1sUEsFBgAAAAAEAAQA9QAAAIUDAAAAAA==&#10;" fillcolor="#e54334" strokecolor="#e54334"/>
                <v:rect id="Rectangle 2" o:spid="_x0000_s1029" style="position:absolute;left:48995;width:2504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oy5MIA&#10;AADbAAAADwAAAGRycy9kb3ducmV2LnhtbERPTWvCQBC9F/oflhF6qxtLjRpdJUiV0lujF29Ddkyi&#10;2dmwu5q0v75bKPQ2j/c5q81gWnEn5xvLCibjBARxaXXDlYLjYfc8B+EDssbWMin4Ig+b9ePDCjNt&#10;e/6kexEqEUPYZ6igDqHLpPRlTQb92HbEkTtbZzBE6CqpHfYx3LTyJUlSabDh2FBjR9uaymtxMwpe&#10;/Sz92Nm3y6zYn85pu8i/e5cr9TQa8iWIQEP4F/+533WcP4XfX+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jLkwgAAANsAAAAPAAAAAAAAAAAAAAAAAJgCAABkcnMvZG93&#10;bnJldi54bWxQSwUGAAAAAAQABAD1AAAAhwMAAAAA&#10;" fillcolor="#c8d223" strokecolor="#c8d223"/>
                <v:rect id="Rectangle 2" o:spid="_x0000_s1030" style="position:absolute;left:7028;width:41400;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sMEA&#10;AADbAAAADwAAAGRycy9kb3ducmV2LnhtbERPTWsCMRC9C/6HMAVvmq1Ska1RSqHgxUN1Cx6HzXSz&#10;uJnEJLprf31TKHibx/uc9XawnbhRiK1jBc+zAgRx7XTLjYLq+DFdgYgJWWPnmBTcKcJ2Mx6tsdSu&#10;50+6HVIjcgjHEhWYlHwpZawNWYwz54kz9+2CxZRhaKQO2Odw28l5USylxZZzg0FP74bq8+FqFex/&#10;XvBrflpVi6EKprucfM9nr9TkaXh7BZFoSA/xv3un8/wl/P2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hsrDBAAAA2wAAAA8AAAAAAAAAAAAAAAAAmAIAAGRycy9kb3du&#10;cmV2LnhtbFBLBQYAAAAABAAEAPUAAACGAwAAAAA=&#10;" fillcolor="#3c4693" strokecolor="#3c4693"/>
              </v:group>
            </w:pict>
          </mc:Fallback>
        </mc:AlternateContent>
      </w:r>
    </w:p>
    <w:p w:rsidR="00D56633" w:rsidRDefault="00D56633" w:rsidP="00D56633">
      <w:pPr>
        <w:pStyle w:val="Titre1"/>
        <w:jc w:val="right"/>
        <w:rPr>
          <w:color w:val="3366FF"/>
          <w:sz w:val="32"/>
          <w:szCs w:val="32"/>
        </w:rPr>
      </w:pPr>
      <w:r w:rsidRPr="009C7789">
        <w:rPr>
          <w:rFonts w:ascii="Century Gothic" w:hAnsi="Century Gothic"/>
          <w:noProof/>
        </w:rPr>
        <w:drawing>
          <wp:anchor distT="0" distB="0" distL="114300" distR="114300" simplePos="0" relativeHeight="251659264" behindDoc="1" locked="0" layoutInCell="1" allowOverlap="1" wp14:anchorId="614CFACF" wp14:editId="613EC44B">
            <wp:simplePos x="0" y="0"/>
            <wp:positionH relativeFrom="column">
              <wp:posOffset>11154</wp:posOffset>
            </wp:positionH>
            <wp:positionV relativeFrom="paragraph">
              <wp:posOffset>118110</wp:posOffset>
            </wp:positionV>
            <wp:extent cx="1040765" cy="602615"/>
            <wp:effectExtent l="0" t="0" r="6985" b="6985"/>
            <wp:wrapNone/>
            <wp:docPr id="18" name="Image 18" descr="D:\Utilisateurs\abarathon\Desktop\2016_Logo_ARS-ARA_Normal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tilisateurs\abarathon\Desktop\2016_Logo_ARS-ARA_Normal_Quadr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076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6633" w:rsidRDefault="00D56633" w:rsidP="00D56633">
      <w:pPr>
        <w:pStyle w:val="Titre1"/>
        <w:jc w:val="right"/>
        <w:rPr>
          <w:color w:val="3366FF"/>
          <w:sz w:val="32"/>
          <w:szCs w:val="32"/>
        </w:rPr>
      </w:pPr>
    </w:p>
    <w:p w:rsidR="00D56633" w:rsidRPr="00DB242D" w:rsidRDefault="00D56633" w:rsidP="00D56633">
      <w:pPr>
        <w:pStyle w:val="Titre1"/>
        <w:jc w:val="right"/>
        <w:rPr>
          <w:color w:val="3366FF"/>
          <w:sz w:val="32"/>
          <w:szCs w:val="32"/>
        </w:rPr>
      </w:pPr>
      <w:r w:rsidRPr="00DB242D">
        <w:rPr>
          <w:color w:val="3366FF"/>
          <w:sz w:val="32"/>
          <w:szCs w:val="32"/>
        </w:rPr>
        <w:t>REGLEMENT INTERIEUR TYPE</w:t>
      </w:r>
    </w:p>
    <w:p w:rsidR="00D56633" w:rsidRDefault="00D56633" w:rsidP="00D56633">
      <w:pPr>
        <w:rPr>
          <w:rFonts w:ascii="Arial" w:hAnsi="Arial"/>
          <w:sz w:val="28"/>
        </w:rPr>
      </w:pPr>
    </w:p>
    <w:p w:rsidR="00D56633" w:rsidRPr="00313BF1" w:rsidRDefault="00D56633" w:rsidP="00D56633">
      <w:pPr>
        <w:pBdr>
          <w:top w:val="single" w:sz="4" w:space="1" w:color="3366FF"/>
        </w:pBdr>
        <w:rPr>
          <w:rFonts w:ascii="Arial" w:hAnsi="Arial"/>
          <w:i/>
          <w:sz w:val="28"/>
        </w:rPr>
      </w:pPr>
    </w:p>
    <w:p w:rsidR="00D56633" w:rsidRPr="00D56633" w:rsidRDefault="00D56633" w:rsidP="00D56633">
      <w:pPr>
        <w:rPr>
          <w:rFonts w:ascii="Arial" w:hAnsi="Arial" w:cs="Arial"/>
          <w:i/>
          <w:sz w:val="26"/>
          <w:szCs w:val="26"/>
        </w:rPr>
      </w:pPr>
    </w:p>
    <w:p w:rsidR="00D56633" w:rsidRPr="00D56633" w:rsidRDefault="00D56633" w:rsidP="00D56633">
      <w:pPr>
        <w:jc w:val="center"/>
        <w:rPr>
          <w:rFonts w:ascii="Arial" w:hAnsi="Arial" w:cs="Arial"/>
          <w:i/>
          <w:sz w:val="26"/>
          <w:szCs w:val="26"/>
        </w:rPr>
      </w:pPr>
      <w:r w:rsidRPr="00D56633">
        <w:rPr>
          <w:rFonts w:ascii="Arial" w:hAnsi="Arial" w:cs="Arial"/>
          <w:i/>
          <w:sz w:val="26"/>
          <w:szCs w:val="26"/>
        </w:rPr>
        <w:br/>
        <w:t>Le règlement intérieur de chaque piscine comporte au moins les prescriptions</w:t>
      </w:r>
      <w:r w:rsidRPr="00D56633">
        <w:rPr>
          <w:rFonts w:ascii="Arial" w:hAnsi="Arial" w:cs="Arial"/>
          <w:i/>
          <w:sz w:val="26"/>
          <w:szCs w:val="26"/>
        </w:rPr>
        <w:t xml:space="preserve"> sanitaires</w:t>
      </w:r>
      <w:r w:rsidRPr="00D56633">
        <w:rPr>
          <w:rFonts w:ascii="Arial" w:hAnsi="Arial" w:cs="Arial"/>
          <w:i/>
          <w:sz w:val="26"/>
          <w:szCs w:val="26"/>
        </w:rPr>
        <w:t xml:space="preserve"> figurant en </w:t>
      </w:r>
      <w:hyperlink r:id="rId7" w:history="1">
        <w:r w:rsidRPr="00D56633">
          <w:rPr>
            <w:rFonts w:ascii="Arial" w:hAnsi="Arial" w:cs="Arial"/>
            <w:i/>
            <w:sz w:val="26"/>
            <w:szCs w:val="26"/>
          </w:rPr>
          <w:t>annexe III-8</w:t>
        </w:r>
      </w:hyperlink>
      <w:r w:rsidRPr="00D56633">
        <w:rPr>
          <w:rFonts w:ascii="Arial" w:hAnsi="Arial" w:cs="Arial"/>
          <w:i/>
          <w:sz w:val="26"/>
          <w:szCs w:val="26"/>
        </w:rPr>
        <w:t xml:space="preserve"> - Article A322-6 du code du sport. </w:t>
      </w:r>
    </w:p>
    <w:p w:rsidR="00D56633" w:rsidRPr="00D56633" w:rsidRDefault="00D56633" w:rsidP="00D56633">
      <w:pPr>
        <w:jc w:val="center"/>
        <w:rPr>
          <w:rFonts w:ascii="Arial" w:hAnsi="Arial" w:cs="Arial"/>
          <w:i/>
          <w:sz w:val="26"/>
          <w:szCs w:val="26"/>
        </w:rPr>
      </w:pPr>
      <w:r w:rsidRPr="00D56633">
        <w:rPr>
          <w:rFonts w:ascii="Arial" w:hAnsi="Arial" w:cs="Arial"/>
          <w:i/>
          <w:sz w:val="26"/>
          <w:szCs w:val="26"/>
        </w:rPr>
        <w:t>Il est affiché de manière visible pour les usagers.</w:t>
      </w:r>
    </w:p>
    <w:p w:rsidR="00D56633" w:rsidRPr="00D56633" w:rsidRDefault="00D56633" w:rsidP="00D56633">
      <w:pPr>
        <w:jc w:val="right"/>
        <w:rPr>
          <w:rFonts w:ascii="Arial" w:hAnsi="Arial" w:cs="Arial"/>
          <w:i/>
          <w:sz w:val="26"/>
          <w:szCs w:val="26"/>
        </w:rPr>
      </w:pPr>
    </w:p>
    <w:p w:rsidR="00D56633" w:rsidRPr="00D56633" w:rsidRDefault="00D56633" w:rsidP="00D56633">
      <w:pPr>
        <w:jc w:val="right"/>
        <w:rPr>
          <w:rFonts w:ascii="Arial" w:hAnsi="Arial" w:cs="Arial"/>
          <w:i/>
          <w:sz w:val="26"/>
          <w:szCs w:val="26"/>
        </w:rPr>
      </w:pPr>
      <w:r w:rsidRPr="00D56633">
        <w:rPr>
          <w:rFonts w:ascii="Arial" w:hAnsi="Arial" w:cs="Arial"/>
          <w:i/>
          <w:sz w:val="26"/>
          <w:szCs w:val="26"/>
        </w:rPr>
        <w:t xml:space="preserve"> </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Avant de pénétrer dans les bassins, les baigneurs doivent passer sous des douches et par des pédiluves (ou des dispositifs équivalents).</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Les baigneurs doivent utiliser une tenue de bain propre.</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Il est interdit de pénétrer chaussé sur les plages.</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Le public, les spectateurs, visiteurs ou accompagnateurs ne fréquentent que les locaux et les aires qui leur sont réservés.</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Les baigneurs ne doivent pas utiliser les pédiluves à d'autres fins que celles pour lesquelles ils sont conçus.</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Il est interdit de fumer ou de mâcher du chewing-gum sauf sur les aires de détente et de repos en plein air.</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Il est interdit de cracher.</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Il ne doit pas être introduit d'animaux dans l'enceinte de l'établissement.</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Il est interdit d'abandonner des reliefs d'aliments.</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Il est interdit de courir sur les plages et de plonger en dehors des zones réservées à cet effet.</w:t>
      </w:r>
      <w:bookmarkStart w:id="0" w:name="_GoBack"/>
      <w:bookmarkEnd w:id="0"/>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L'accès aux zones réservées aux baigneurs est interdit aux porteurs de lésions cutanées suspectes, non munis d'un certificat de non-contagion.</w:t>
      </w: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Il est déconseillé la baignade et l’accès aux plages aux personnes vulnérables et aux personnes manifestant des symptômes tels que diarrhées, d’une part pour ne pas aggraver l’état de leur santé et, d’autre part, pour éviter la transmission d’infections aux autres baigneurs.</w:t>
      </w:r>
    </w:p>
    <w:p w:rsidR="00D56633" w:rsidRPr="00D56633" w:rsidRDefault="00D56633" w:rsidP="00574467">
      <w:pPr>
        <w:jc w:val="both"/>
        <w:rPr>
          <w:rFonts w:ascii="Arial" w:hAnsi="Arial" w:cs="Arial"/>
          <w:sz w:val="26"/>
          <w:szCs w:val="26"/>
        </w:rPr>
      </w:pPr>
    </w:p>
    <w:p w:rsidR="00D56633" w:rsidRPr="00D56633" w:rsidRDefault="00D56633" w:rsidP="00574467">
      <w:pPr>
        <w:jc w:val="both"/>
        <w:rPr>
          <w:rFonts w:ascii="Arial" w:hAnsi="Arial" w:cs="Arial"/>
          <w:sz w:val="26"/>
          <w:szCs w:val="26"/>
        </w:rPr>
      </w:pPr>
    </w:p>
    <w:p w:rsidR="00D56633" w:rsidRPr="00D56633" w:rsidRDefault="00D56633" w:rsidP="00574467">
      <w:pPr>
        <w:jc w:val="center"/>
        <w:rPr>
          <w:rFonts w:ascii="Arial" w:hAnsi="Arial" w:cs="Arial"/>
          <w:i/>
          <w:sz w:val="26"/>
          <w:szCs w:val="26"/>
        </w:rPr>
      </w:pPr>
      <w:r w:rsidRPr="00D56633">
        <w:rPr>
          <w:rFonts w:ascii="Arial" w:hAnsi="Arial" w:cs="Arial"/>
          <w:i/>
          <w:sz w:val="26"/>
          <w:szCs w:val="26"/>
        </w:rPr>
        <w:t>Pour les bains à remous (Spas, jacuzzis, etc.), l’exploitant procède à l’information complémentaire suivante :</w:t>
      </w:r>
    </w:p>
    <w:p w:rsidR="00D56633" w:rsidRPr="00D56633" w:rsidRDefault="00D56633" w:rsidP="00574467">
      <w:pPr>
        <w:jc w:val="both"/>
        <w:rPr>
          <w:rFonts w:ascii="Arial" w:hAnsi="Arial" w:cs="Arial"/>
          <w:i/>
          <w:sz w:val="26"/>
          <w:szCs w:val="26"/>
        </w:rPr>
      </w:pPr>
    </w:p>
    <w:p w:rsidR="00D56633" w:rsidRPr="00D56633" w:rsidRDefault="00D56633" w:rsidP="00574467">
      <w:pPr>
        <w:numPr>
          <w:ilvl w:val="0"/>
          <w:numId w:val="1"/>
        </w:numPr>
        <w:tabs>
          <w:tab w:val="clear" w:pos="4140"/>
        </w:tabs>
        <w:spacing w:before="100" w:beforeAutospacing="1" w:after="100" w:afterAutospacing="1"/>
        <w:ind w:left="993"/>
        <w:jc w:val="both"/>
        <w:rPr>
          <w:rFonts w:ascii="Arial" w:hAnsi="Arial" w:cs="Arial"/>
          <w:sz w:val="26"/>
          <w:szCs w:val="26"/>
        </w:rPr>
      </w:pPr>
      <w:r w:rsidRPr="00D56633">
        <w:rPr>
          <w:rFonts w:ascii="Arial" w:hAnsi="Arial" w:cs="Arial"/>
          <w:sz w:val="26"/>
          <w:szCs w:val="26"/>
        </w:rPr>
        <w:t>Il est conseillé de limiter la baignade à 15 minutes et de différer celle-ci en cas de forte affluence.</w:t>
      </w:r>
    </w:p>
    <w:p w:rsidR="00D56633" w:rsidRDefault="00D56633" w:rsidP="00574467">
      <w:pPr>
        <w:jc w:val="both"/>
        <w:rPr>
          <w:rFonts w:ascii="Arial" w:hAnsi="Arial" w:cs="Arial"/>
          <w:sz w:val="28"/>
          <w:szCs w:val="28"/>
        </w:rPr>
      </w:pPr>
    </w:p>
    <w:p w:rsidR="008768BC" w:rsidRDefault="008768BC"/>
    <w:sectPr w:rsidR="008768BC" w:rsidSect="00D566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A2395"/>
    <w:multiLevelType w:val="hybridMultilevel"/>
    <w:tmpl w:val="7B3C4254"/>
    <w:lvl w:ilvl="0" w:tplc="8BC0E3D6">
      <w:start w:val="1"/>
      <w:numFmt w:val="bullet"/>
      <w:lvlText w:val=""/>
      <w:lvlJc w:val="left"/>
      <w:pPr>
        <w:tabs>
          <w:tab w:val="num" w:pos="4140"/>
        </w:tabs>
        <w:ind w:left="41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33"/>
    <w:rsid w:val="00574467"/>
    <w:rsid w:val="008768BC"/>
    <w:rsid w:val="00D566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Cs w:val="22"/>
        <w:lang w:val="fr-FR" w:eastAsia="en-US" w:bidi="ar-SA"/>
      </w:rPr>
    </w:rPrDefault>
    <w:pPrDefault>
      <w:pPr>
        <w:spacing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33"/>
    <w:pPr>
      <w:spacing w:after="0" w:line="240" w:lineRule="auto"/>
    </w:pPr>
    <w:rPr>
      <w:rFonts w:ascii="Times New Roman" w:eastAsia="Times New Roman" w:hAnsi="Times New Roman" w:cs="Times New Roman"/>
      <w:szCs w:val="20"/>
      <w:lang w:eastAsia="fr-FR"/>
    </w:rPr>
  </w:style>
  <w:style w:type="paragraph" w:styleId="Titre1">
    <w:name w:val="heading 1"/>
    <w:basedOn w:val="Normal"/>
    <w:next w:val="Normal"/>
    <w:link w:val="Titre1Car"/>
    <w:qFormat/>
    <w:rsid w:val="00D56633"/>
    <w:pPr>
      <w:keepNext/>
      <w:jc w:val="center"/>
      <w:outlineLvl w:val="0"/>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6633"/>
    <w:rPr>
      <w:rFonts w:ascii="Arial" w:eastAsia="Times New Roman" w:hAnsi="Arial" w:cs="Arial"/>
      <w:b/>
      <w:b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Cs w:val="22"/>
        <w:lang w:val="fr-FR" w:eastAsia="en-US" w:bidi="ar-SA"/>
      </w:rPr>
    </w:rPrDefault>
    <w:pPrDefault>
      <w:pPr>
        <w:spacing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33"/>
    <w:pPr>
      <w:spacing w:after="0" w:line="240" w:lineRule="auto"/>
    </w:pPr>
    <w:rPr>
      <w:rFonts w:ascii="Times New Roman" w:eastAsia="Times New Roman" w:hAnsi="Times New Roman" w:cs="Times New Roman"/>
      <w:szCs w:val="20"/>
      <w:lang w:eastAsia="fr-FR"/>
    </w:rPr>
  </w:style>
  <w:style w:type="paragraph" w:styleId="Titre1">
    <w:name w:val="heading 1"/>
    <w:basedOn w:val="Normal"/>
    <w:next w:val="Normal"/>
    <w:link w:val="Titre1Car"/>
    <w:qFormat/>
    <w:rsid w:val="00D56633"/>
    <w:pPr>
      <w:keepNext/>
      <w:jc w:val="center"/>
      <w:outlineLvl w:val="0"/>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6633"/>
    <w:rPr>
      <w:rFonts w:ascii="Arial" w:eastAsia="Times New Roman" w:hAnsi="Arial" w:cs="Arial"/>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france.gouv.fr/affichCodeArticle.do?cidTexte=LEGITEXT000006071318&amp;idArticle=LEGIARTI000018752275&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1591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abarathon</dc:creator>
  <cp:lastModifiedBy>abarathon</cp:lastModifiedBy>
  <cp:revision>1</cp:revision>
  <dcterms:created xsi:type="dcterms:W3CDTF">2019-05-09T06:39:00Z</dcterms:created>
  <dcterms:modified xsi:type="dcterms:W3CDTF">2019-05-09T06:45:00Z</dcterms:modified>
</cp:coreProperties>
</file>