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33" w:rsidRDefault="00D56633" w:rsidP="00D56633">
      <w:pPr>
        <w:pStyle w:val="Titre1"/>
        <w:ind w:right="-995"/>
        <w:jc w:val="left"/>
        <w:rPr>
          <w:rFonts w:ascii="Century Gothic" w:hAnsi="Century Gothic"/>
        </w:rPr>
      </w:pPr>
      <w:r>
        <w:rPr>
          <w:noProof/>
        </w:rPr>
        <mc:AlternateContent>
          <mc:Choice Requires="wpg">
            <w:drawing>
              <wp:anchor distT="0" distB="0" distL="114300" distR="114300" simplePos="0" relativeHeight="251660288" behindDoc="0" locked="0" layoutInCell="1" allowOverlap="1">
                <wp:simplePos x="0" y="0"/>
                <wp:positionH relativeFrom="column">
                  <wp:posOffset>-383430</wp:posOffset>
                </wp:positionH>
                <wp:positionV relativeFrom="paragraph">
                  <wp:posOffset>-41330</wp:posOffset>
                </wp:positionV>
                <wp:extent cx="7403465" cy="71755"/>
                <wp:effectExtent l="0" t="0" r="26035" b="23495"/>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03465" cy="71755"/>
                          <a:chOff x="0" y="0"/>
                          <a:chExt cx="7403910" cy="71755"/>
                        </a:xfrm>
                      </wpg:grpSpPr>
                      <wps:wsp>
                        <wps:cNvPr id="12" name="Rectangle 2"/>
                        <wps:cNvSpPr>
                          <a:spLocks noChangeArrowheads="1"/>
                        </wps:cNvSpPr>
                        <wps:spPr bwMode="auto">
                          <a:xfrm>
                            <a:off x="0" y="0"/>
                            <a:ext cx="473245" cy="71755"/>
                          </a:xfrm>
                          <a:prstGeom prst="rect">
                            <a:avLst/>
                          </a:prstGeom>
                          <a:solidFill>
                            <a:srgbClr val="3C4693"/>
                          </a:solidFill>
                          <a:ln w="9525">
                            <a:solidFill>
                              <a:srgbClr val="3C4693"/>
                            </a:solidFill>
                            <a:miter lim="800000"/>
                            <a:headEnd/>
                            <a:tailEnd/>
                          </a:ln>
                        </wps:spPr>
                        <wps:bodyPr rot="0" vert="horz" wrap="square" lIns="91440" tIns="45720" rIns="91440" bIns="45720" anchor="t" anchorCtr="0" upright="1">
                          <a:noAutofit/>
                        </wps:bodyPr>
                      </wps:wsp>
                      <wps:wsp>
                        <wps:cNvPr id="14" name="Rectangle 2"/>
                        <wps:cNvSpPr>
                          <a:spLocks noChangeArrowheads="1"/>
                        </wps:cNvSpPr>
                        <wps:spPr bwMode="auto">
                          <a:xfrm>
                            <a:off x="518615" y="0"/>
                            <a:ext cx="131445" cy="71755"/>
                          </a:xfrm>
                          <a:prstGeom prst="rect">
                            <a:avLst/>
                          </a:prstGeom>
                          <a:solidFill>
                            <a:srgbClr val="E54334"/>
                          </a:solidFill>
                          <a:ln w="9525">
                            <a:solidFill>
                              <a:srgbClr val="E54334"/>
                            </a:solidFill>
                            <a:miter lim="800000"/>
                            <a:headEnd/>
                            <a:tailEnd/>
                          </a:ln>
                        </wps:spPr>
                        <wps:bodyPr rot="0" vert="horz" wrap="square" lIns="91440" tIns="45720" rIns="91440" bIns="45720" anchor="t" anchorCtr="0" upright="1">
                          <a:noAutofit/>
                        </wps:bodyPr>
                      </wps:wsp>
                      <wps:wsp>
                        <wps:cNvPr id="15" name="Rectangle 2"/>
                        <wps:cNvSpPr>
                          <a:spLocks noChangeArrowheads="1"/>
                        </wps:cNvSpPr>
                        <wps:spPr bwMode="auto">
                          <a:xfrm>
                            <a:off x="4899546" y="0"/>
                            <a:ext cx="2504364" cy="71755"/>
                          </a:xfrm>
                          <a:prstGeom prst="rect">
                            <a:avLst/>
                          </a:prstGeom>
                          <a:solidFill>
                            <a:srgbClr val="C8D223"/>
                          </a:solidFill>
                          <a:ln w="9525">
                            <a:solidFill>
                              <a:srgbClr val="C8D223"/>
                            </a:solidFill>
                            <a:miter lim="800000"/>
                            <a:headEnd/>
                            <a:tailEnd/>
                          </a:ln>
                        </wps:spPr>
                        <wps:bodyPr rot="0" vert="horz" wrap="square" lIns="91440" tIns="45720" rIns="91440" bIns="45720" anchor="t" anchorCtr="0" upright="1">
                          <a:noAutofit/>
                        </wps:bodyPr>
                      </wps:wsp>
                      <wps:wsp>
                        <wps:cNvPr id="16" name="Rectangle 2"/>
                        <wps:cNvSpPr>
                          <a:spLocks noChangeArrowheads="1"/>
                        </wps:cNvSpPr>
                        <wps:spPr bwMode="auto">
                          <a:xfrm>
                            <a:off x="702860" y="0"/>
                            <a:ext cx="4140000" cy="71755"/>
                          </a:xfrm>
                          <a:prstGeom prst="rect">
                            <a:avLst/>
                          </a:prstGeom>
                          <a:solidFill>
                            <a:srgbClr val="3C4693"/>
                          </a:solidFill>
                          <a:ln w="9525">
                            <a:solidFill>
                              <a:srgbClr val="3C4693"/>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1" o:spid="_x0000_s1026" style="position:absolute;margin-left:-30.2pt;margin-top:-3.25pt;width:582.95pt;height:5.65pt;z-index:251660288" coordsize="7403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">
                <v:rect id="Rectangle 2" o:spid="_x0000_s1027" style="position:absolute;width:4732;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0s8EA&#10;AADbAAAADwAAAGRycy9kb3ducmV2LnhtbERPTWsCMRC9F/ofwhS81awrLbI1ihQELx6qK3gcNtPN&#10;4maSJtHd9tc3BaG3ebzPWa5H24sbhdg5VjCbFiCIG6c7bhXUx+3zAkRMyBp7x6TgmyKsV48PS6y0&#10;G/iDbofUihzCsUIFJiVfSRkbQxbj1HnizH26YDFlGFqpAw453PayLIpXabHj3GDQ07uh5nK4WgX7&#10;nxc8ledFPR/rYPqvsx/44pWaPI2bNxCJxvQvvrt3Os8v4e+XfI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atLPBAAAA2wAAAA8AAAAAAAAAAAAAAAAAmAIAAGRycy9kb3du&#10;cmV2LnhtbFBLBQYAAAAABAAEAPUAAACGAwAAAAA=&#10;" fillcolor="#3c4693" strokecolor="#3c4693"/>
                <v:rect id="Rectangle 2" o:spid="_x0000_s1028" style="position:absolute;left:5186;width:1314;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BMcAA&#10;AADbAAAADwAAAGRycy9kb3ducmV2LnhtbERPzYrCMBC+L/gOYQRva9JFV6nGUgriHrys+gBDM7bF&#10;ZlKaaLs+vVlY2Nt8fL+zzUbbigf1vnGsIZkrEMSlMw1XGi7n/fsahA/IBlvHpOGHPGS7ydsWU+MG&#10;/qbHKVQihrBPUUMdQpdK6cuaLPq564gjd3W9xRBhX0nT4xDDbSs/lPqUFhuODTV2VNRU3k53qyE/&#10;Lp/FWCnl1qvDolFDcvVmr/VsOuYbEIHG8C/+c3+ZOH8Bv7/EA+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BMcAAAADbAAAADwAAAAAAAAAAAAAAAACYAgAAZHJzL2Rvd25y&#10;ZXYueG1sUEsFBgAAAAAEAAQA9QAAAIUDAAAAAA==&#10;" fillcolor="#e54334" strokecolor="#e54334"/>
                <v:rect id="Rectangle 2" o:spid="_x0000_s1029" style="position:absolute;left:48995;width:25044;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oy5MIA&#10;AADbAAAADwAAAGRycy9kb3ducmV2LnhtbERPTWvCQBC9F/oflhF6qxtLjRpdJUiV0lujF29Ddkyi&#10;2dmwu5q0v75bKPQ2j/c5q81gWnEn5xvLCibjBARxaXXDlYLjYfc8B+EDssbWMin4Ig+b9ePDCjNt&#10;e/6kexEqEUPYZ6igDqHLpPRlTQb92HbEkTtbZzBE6CqpHfYx3LTyJUlSabDh2FBjR9uaymtxMwpe&#10;/Sz92Nm3y6zYn85pu8i/e5cr9TQa8iWIQEP4F/+533WcP4XfX+I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jLkwgAAANsAAAAPAAAAAAAAAAAAAAAAAJgCAABkcnMvZG93&#10;bnJldi54bWxQSwUGAAAAAAQABAD1AAAAhwMAAAAA&#10;" fillcolor="#c8d223" strokecolor="#c8d223"/>
                <v:rect id="Rectangle 2" o:spid="_x0000_s1030" style="position:absolute;left:7028;width:41400;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ysMEA&#10;AADbAAAADwAAAGRycy9kb3ducmV2LnhtbERPTWsCMRC9C/6HMAVvmq1Ska1RSqHgxUN1Cx6HzXSz&#10;uJnEJLprf31TKHibx/uc9XawnbhRiK1jBc+zAgRx7XTLjYLq+DFdgYgJWWPnmBTcKcJ2Mx6tsdSu&#10;50+6HVIjcgjHEhWYlHwpZawNWYwz54kz9+2CxZRhaKQO2Odw28l5USylxZZzg0FP74bq8+FqFex/&#10;XvBrflpVi6EKprucfM9nr9TkaXh7BZFoSA/xv3un8/wl/P2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hsrDBAAAA2wAAAA8AAAAAAAAAAAAAAAAAmAIAAGRycy9kb3du&#10;cmV2LnhtbFBLBQYAAAAABAAEAPUAAACGAwAAAAA=&#10;" fillcolor="#3c4693" strokecolor="#3c4693"/>
              </v:group>
            </w:pict>
          </mc:Fallback>
        </mc:AlternateContent>
      </w:r>
    </w:p>
    <w:p w:rsidR="00D56633" w:rsidRDefault="00D56633" w:rsidP="00D56633">
      <w:pPr>
        <w:pStyle w:val="Titre1"/>
        <w:jc w:val="right"/>
        <w:rPr>
          <w:color w:val="3366FF"/>
          <w:sz w:val="32"/>
          <w:szCs w:val="32"/>
        </w:rPr>
      </w:pPr>
      <w:r w:rsidRPr="009C7789">
        <w:rPr>
          <w:rFonts w:ascii="Century Gothic" w:hAnsi="Century Gothic"/>
          <w:noProof/>
        </w:rPr>
        <w:drawing>
          <wp:anchor distT="0" distB="0" distL="114300" distR="114300" simplePos="0" relativeHeight="251659264" behindDoc="1" locked="0" layoutInCell="1" allowOverlap="1" wp14:anchorId="614CFACF" wp14:editId="613EC44B">
            <wp:simplePos x="0" y="0"/>
            <wp:positionH relativeFrom="column">
              <wp:posOffset>11154</wp:posOffset>
            </wp:positionH>
            <wp:positionV relativeFrom="paragraph">
              <wp:posOffset>118110</wp:posOffset>
            </wp:positionV>
            <wp:extent cx="1040765" cy="602615"/>
            <wp:effectExtent l="0" t="0" r="6985" b="6985"/>
            <wp:wrapNone/>
            <wp:docPr id="18" name="Image 18" descr="D:\Utilisateurs\abarathon\Desktop\2016_Logo_ARS-ARA_Normal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tilisateurs\abarathon\Desktop\2016_Logo_ARS-ARA_Normal_Quadr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076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6633" w:rsidRDefault="00D56633" w:rsidP="00D56633">
      <w:pPr>
        <w:pStyle w:val="Titre1"/>
        <w:jc w:val="right"/>
        <w:rPr>
          <w:color w:val="3366FF"/>
          <w:sz w:val="32"/>
          <w:szCs w:val="32"/>
        </w:rPr>
      </w:pPr>
    </w:p>
    <w:p w:rsidR="00D56633" w:rsidRPr="00DB242D" w:rsidRDefault="00D56633" w:rsidP="00D56633">
      <w:pPr>
        <w:pStyle w:val="Titre1"/>
        <w:jc w:val="right"/>
        <w:rPr>
          <w:color w:val="3366FF"/>
          <w:sz w:val="32"/>
          <w:szCs w:val="32"/>
        </w:rPr>
      </w:pPr>
      <w:r w:rsidRPr="00DB242D">
        <w:rPr>
          <w:color w:val="3366FF"/>
          <w:sz w:val="32"/>
          <w:szCs w:val="32"/>
        </w:rPr>
        <w:t>REGLEMENT INTERIEUR TYPE</w:t>
      </w:r>
    </w:p>
    <w:p w:rsidR="00D56633" w:rsidRDefault="00D56633" w:rsidP="00D56633">
      <w:pPr>
        <w:rPr>
          <w:rFonts w:ascii="Arial" w:hAnsi="Arial"/>
          <w:sz w:val="28"/>
        </w:rPr>
      </w:pPr>
    </w:p>
    <w:p w:rsidR="00D56633" w:rsidRPr="00313BF1" w:rsidRDefault="00D56633" w:rsidP="00D56633">
      <w:pPr>
        <w:pBdr>
          <w:top w:val="single" w:sz="4" w:space="1" w:color="3366FF"/>
        </w:pBdr>
        <w:rPr>
          <w:rFonts w:ascii="Arial" w:hAnsi="Arial"/>
          <w:i/>
          <w:sz w:val="28"/>
        </w:rPr>
      </w:pPr>
    </w:p>
    <w:p w:rsidR="00D56633" w:rsidRPr="00D56633" w:rsidRDefault="00D56633" w:rsidP="00D56633">
      <w:pPr>
        <w:rPr>
          <w:rFonts w:ascii="Arial" w:hAnsi="Arial" w:cs="Arial"/>
          <w:i/>
          <w:sz w:val="26"/>
          <w:szCs w:val="26"/>
        </w:rPr>
      </w:pPr>
    </w:p>
    <w:p w:rsidR="00D56633" w:rsidRPr="00D56633" w:rsidRDefault="00D56633" w:rsidP="00D56633">
      <w:pPr>
        <w:jc w:val="center"/>
        <w:rPr>
          <w:rFonts w:ascii="Arial" w:hAnsi="Arial" w:cs="Arial"/>
          <w:i/>
          <w:sz w:val="26"/>
          <w:szCs w:val="26"/>
        </w:rPr>
      </w:pPr>
      <w:r w:rsidRPr="00D56633">
        <w:rPr>
          <w:rFonts w:ascii="Arial" w:hAnsi="Arial" w:cs="Arial"/>
          <w:i/>
          <w:sz w:val="26"/>
          <w:szCs w:val="26"/>
        </w:rPr>
        <w:br/>
        <w:t>Le règlement intérieur de chaque piscine comporte au moins les prescriptions</w:t>
      </w:r>
      <w:r w:rsidRPr="00D56633">
        <w:rPr>
          <w:rFonts w:ascii="Arial" w:hAnsi="Arial" w:cs="Arial"/>
          <w:i/>
          <w:sz w:val="26"/>
          <w:szCs w:val="26"/>
        </w:rPr>
        <w:t xml:space="preserve"> sanitaires</w:t>
      </w:r>
      <w:r w:rsidRPr="00D56633">
        <w:rPr>
          <w:rFonts w:ascii="Arial" w:hAnsi="Arial" w:cs="Arial"/>
          <w:i/>
          <w:sz w:val="26"/>
          <w:szCs w:val="26"/>
        </w:rPr>
        <w:t xml:space="preserve"> figurant en </w:t>
      </w:r>
      <w:hyperlink r:id="rId7" w:history="1">
        <w:r w:rsidRPr="00D56633">
          <w:rPr>
            <w:rFonts w:ascii="Arial" w:hAnsi="Arial" w:cs="Arial"/>
            <w:i/>
            <w:sz w:val="26"/>
            <w:szCs w:val="26"/>
          </w:rPr>
          <w:t>annexe III-8</w:t>
        </w:r>
      </w:hyperlink>
      <w:r w:rsidRPr="00D56633">
        <w:rPr>
          <w:rFonts w:ascii="Arial" w:hAnsi="Arial" w:cs="Arial"/>
          <w:i/>
          <w:sz w:val="26"/>
          <w:szCs w:val="26"/>
        </w:rPr>
        <w:t xml:space="preserve"> - Article A322-6 du code du sport. </w:t>
      </w:r>
    </w:p>
    <w:p w:rsidR="00D56633" w:rsidRPr="00D56633" w:rsidRDefault="00D56633" w:rsidP="00D56633">
      <w:pPr>
        <w:jc w:val="center"/>
        <w:rPr>
          <w:rFonts w:ascii="Arial" w:hAnsi="Arial" w:cs="Arial"/>
          <w:i/>
          <w:sz w:val="26"/>
          <w:szCs w:val="26"/>
        </w:rPr>
      </w:pPr>
      <w:r w:rsidRPr="00D56633">
        <w:rPr>
          <w:rFonts w:ascii="Arial" w:hAnsi="Arial" w:cs="Arial"/>
          <w:i/>
          <w:sz w:val="26"/>
          <w:szCs w:val="26"/>
        </w:rPr>
        <w:t>Il est affiché de manière visible pour les usagers.</w:t>
      </w:r>
    </w:p>
    <w:p w:rsidR="00D56633" w:rsidRPr="00D56633" w:rsidRDefault="00D56633" w:rsidP="00D56633">
      <w:pPr>
        <w:jc w:val="right"/>
        <w:rPr>
          <w:rFonts w:ascii="Arial" w:hAnsi="Arial" w:cs="Arial"/>
          <w:i/>
          <w:sz w:val="26"/>
          <w:szCs w:val="26"/>
        </w:rPr>
      </w:pPr>
    </w:p>
    <w:p w:rsidR="00D56633" w:rsidRPr="00D56633" w:rsidRDefault="00D56633" w:rsidP="00D56633">
      <w:pPr>
        <w:jc w:val="right"/>
        <w:rPr>
          <w:rFonts w:ascii="Arial" w:hAnsi="Arial" w:cs="Arial"/>
          <w:i/>
          <w:sz w:val="26"/>
          <w:szCs w:val="26"/>
        </w:rPr>
      </w:pPr>
      <w:r w:rsidRPr="00D56633">
        <w:rPr>
          <w:rFonts w:ascii="Arial" w:hAnsi="Arial" w:cs="Arial"/>
          <w:i/>
          <w:sz w:val="26"/>
          <w:szCs w:val="26"/>
        </w:rPr>
        <w:t xml:space="preserve"> </w:t>
      </w:r>
    </w:p>
    <w:p w:rsidR="00D56633" w:rsidRPr="00D56633" w:rsidRDefault="00D56633" w:rsidP="00574467">
      <w:pPr>
        <w:numPr>
          <w:ilvl w:val="0"/>
          <w:numId w:val="1"/>
        </w:numPr>
        <w:tabs>
          <w:tab w:val="clear" w:pos="4140"/>
        </w:tabs>
        <w:spacing w:before="100" w:beforeAutospacing="1" w:after="100" w:afterAutospacing="1"/>
        <w:ind w:left="993"/>
        <w:jc w:val="both"/>
        <w:rPr>
          <w:rFonts w:ascii="Arial" w:hAnsi="Arial" w:cs="Arial"/>
          <w:sz w:val="26"/>
          <w:szCs w:val="26"/>
        </w:rPr>
      </w:pPr>
      <w:r w:rsidRPr="00D56633">
        <w:rPr>
          <w:rFonts w:ascii="Arial" w:hAnsi="Arial" w:cs="Arial"/>
          <w:sz w:val="26"/>
          <w:szCs w:val="26"/>
        </w:rPr>
        <w:t>Avant de pénétrer dans les bassins, les baigneurs doivent passer sous des douches et par des pédiluves (ou des dispositifs équivalents).</w:t>
      </w:r>
    </w:p>
    <w:p w:rsidR="00D56633" w:rsidRPr="00D56633" w:rsidRDefault="00D56633" w:rsidP="00574467">
      <w:pPr>
        <w:numPr>
          <w:ilvl w:val="0"/>
          <w:numId w:val="1"/>
        </w:numPr>
        <w:tabs>
          <w:tab w:val="clear" w:pos="4140"/>
        </w:tabs>
        <w:spacing w:before="100" w:beforeAutospacing="1" w:after="100" w:afterAutospacing="1"/>
        <w:ind w:left="993"/>
        <w:jc w:val="both"/>
        <w:rPr>
          <w:rFonts w:ascii="Arial" w:hAnsi="Arial" w:cs="Arial"/>
          <w:sz w:val="26"/>
          <w:szCs w:val="26"/>
        </w:rPr>
      </w:pPr>
      <w:r w:rsidRPr="00D56633">
        <w:rPr>
          <w:rFonts w:ascii="Arial" w:hAnsi="Arial" w:cs="Arial"/>
          <w:sz w:val="26"/>
          <w:szCs w:val="26"/>
        </w:rPr>
        <w:t>Les baigneurs doivent utiliser une tenue de bain propre.</w:t>
      </w:r>
    </w:p>
    <w:p w:rsidR="00D56633" w:rsidRPr="00D56633" w:rsidRDefault="00D56633" w:rsidP="00574467">
      <w:pPr>
        <w:numPr>
          <w:ilvl w:val="0"/>
          <w:numId w:val="1"/>
        </w:numPr>
        <w:tabs>
          <w:tab w:val="clear" w:pos="4140"/>
        </w:tabs>
        <w:spacing w:before="100" w:beforeAutospacing="1" w:after="100" w:afterAutospacing="1"/>
        <w:ind w:left="993"/>
        <w:jc w:val="both"/>
        <w:rPr>
          <w:rFonts w:ascii="Arial" w:hAnsi="Arial" w:cs="Arial"/>
          <w:sz w:val="26"/>
          <w:szCs w:val="26"/>
        </w:rPr>
      </w:pPr>
      <w:r w:rsidRPr="00D56633">
        <w:rPr>
          <w:rFonts w:ascii="Arial" w:hAnsi="Arial" w:cs="Arial"/>
          <w:sz w:val="26"/>
          <w:szCs w:val="26"/>
        </w:rPr>
        <w:t>Il est interdit de pénétrer chaussé sur les plages.</w:t>
      </w:r>
    </w:p>
    <w:p w:rsidR="00D56633" w:rsidRPr="00D56633" w:rsidRDefault="00D56633" w:rsidP="00574467">
      <w:pPr>
        <w:numPr>
          <w:ilvl w:val="0"/>
          <w:numId w:val="1"/>
        </w:numPr>
        <w:tabs>
          <w:tab w:val="clear" w:pos="4140"/>
        </w:tabs>
        <w:spacing w:before="100" w:beforeAutospacing="1" w:after="100" w:afterAutospacing="1"/>
        <w:ind w:left="993"/>
        <w:jc w:val="both"/>
        <w:rPr>
          <w:rFonts w:ascii="Arial" w:hAnsi="Arial" w:cs="Arial"/>
          <w:sz w:val="26"/>
          <w:szCs w:val="26"/>
        </w:rPr>
      </w:pPr>
      <w:r w:rsidRPr="00D56633">
        <w:rPr>
          <w:rFonts w:ascii="Arial" w:hAnsi="Arial" w:cs="Arial"/>
          <w:sz w:val="26"/>
          <w:szCs w:val="26"/>
        </w:rPr>
        <w:t>Le public, les spectateurs, visiteurs ou accompagnateurs ne fréquentent que les locaux et les aires qui leur sont réservés.</w:t>
      </w:r>
    </w:p>
    <w:p w:rsidR="00D56633" w:rsidRPr="00D56633" w:rsidRDefault="00D56633" w:rsidP="00574467">
      <w:pPr>
        <w:numPr>
          <w:ilvl w:val="0"/>
          <w:numId w:val="1"/>
        </w:numPr>
        <w:tabs>
          <w:tab w:val="clear" w:pos="4140"/>
        </w:tabs>
        <w:spacing w:before="100" w:beforeAutospacing="1" w:after="100" w:afterAutospacing="1"/>
        <w:ind w:left="993"/>
        <w:jc w:val="both"/>
        <w:rPr>
          <w:rFonts w:ascii="Arial" w:hAnsi="Arial" w:cs="Arial"/>
          <w:sz w:val="26"/>
          <w:szCs w:val="26"/>
        </w:rPr>
      </w:pPr>
      <w:r w:rsidRPr="00D56633">
        <w:rPr>
          <w:rFonts w:ascii="Arial" w:hAnsi="Arial" w:cs="Arial"/>
          <w:sz w:val="26"/>
          <w:szCs w:val="26"/>
        </w:rPr>
        <w:t>Les baigneurs ne doivent pas utiliser les pédiluves à d'autres fins que celles pour lesquelles ils sont conçus.</w:t>
      </w:r>
    </w:p>
    <w:p w:rsidR="00D56633" w:rsidRPr="00D56633" w:rsidRDefault="00D56633" w:rsidP="00574467">
      <w:pPr>
        <w:numPr>
          <w:ilvl w:val="0"/>
          <w:numId w:val="1"/>
        </w:numPr>
        <w:tabs>
          <w:tab w:val="clear" w:pos="4140"/>
        </w:tabs>
        <w:spacing w:before="100" w:beforeAutospacing="1" w:after="100" w:afterAutospacing="1"/>
        <w:ind w:left="993"/>
        <w:jc w:val="both"/>
        <w:rPr>
          <w:rFonts w:ascii="Arial" w:hAnsi="Arial" w:cs="Arial"/>
          <w:sz w:val="26"/>
          <w:szCs w:val="26"/>
        </w:rPr>
      </w:pPr>
      <w:r w:rsidRPr="00D56633">
        <w:rPr>
          <w:rFonts w:ascii="Arial" w:hAnsi="Arial" w:cs="Arial"/>
          <w:sz w:val="26"/>
          <w:szCs w:val="26"/>
        </w:rPr>
        <w:t>Il est interdit de fumer ou de mâcher du chewing-gum sauf sur les aires de détente et de repos en plein air.</w:t>
      </w:r>
    </w:p>
    <w:p w:rsidR="00D56633" w:rsidRPr="00D56633" w:rsidRDefault="00D56633" w:rsidP="00574467">
      <w:pPr>
        <w:numPr>
          <w:ilvl w:val="0"/>
          <w:numId w:val="1"/>
        </w:numPr>
        <w:tabs>
          <w:tab w:val="clear" w:pos="4140"/>
        </w:tabs>
        <w:spacing w:before="100" w:beforeAutospacing="1" w:after="100" w:afterAutospacing="1"/>
        <w:ind w:left="993"/>
        <w:jc w:val="both"/>
        <w:rPr>
          <w:rFonts w:ascii="Arial" w:hAnsi="Arial" w:cs="Arial"/>
          <w:sz w:val="26"/>
          <w:szCs w:val="26"/>
        </w:rPr>
      </w:pPr>
      <w:r w:rsidRPr="00D56633">
        <w:rPr>
          <w:rFonts w:ascii="Arial" w:hAnsi="Arial" w:cs="Arial"/>
          <w:sz w:val="26"/>
          <w:szCs w:val="26"/>
        </w:rPr>
        <w:t>Il est interdit de cracher.</w:t>
      </w:r>
    </w:p>
    <w:p w:rsidR="00D56633" w:rsidRPr="00D56633" w:rsidRDefault="00D56633" w:rsidP="00574467">
      <w:pPr>
        <w:numPr>
          <w:ilvl w:val="0"/>
          <w:numId w:val="1"/>
        </w:numPr>
        <w:tabs>
          <w:tab w:val="clear" w:pos="4140"/>
        </w:tabs>
        <w:spacing w:before="100" w:beforeAutospacing="1" w:after="100" w:afterAutospacing="1"/>
        <w:ind w:left="993"/>
        <w:jc w:val="both"/>
        <w:rPr>
          <w:rFonts w:ascii="Arial" w:hAnsi="Arial" w:cs="Arial"/>
          <w:sz w:val="26"/>
          <w:szCs w:val="26"/>
        </w:rPr>
      </w:pPr>
      <w:r w:rsidRPr="00D56633">
        <w:rPr>
          <w:rFonts w:ascii="Arial" w:hAnsi="Arial" w:cs="Arial"/>
          <w:sz w:val="26"/>
          <w:szCs w:val="26"/>
        </w:rPr>
        <w:t>Il ne doit pas être introduit d'animaux dans l'enceinte de l'établissement.</w:t>
      </w:r>
    </w:p>
    <w:p w:rsidR="00D56633" w:rsidRPr="00D56633" w:rsidRDefault="00D56633" w:rsidP="00574467">
      <w:pPr>
        <w:numPr>
          <w:ilvl w:val="0"/>
          <w:numId w:val="1"/>
        </w:numPr>
        <w:tabs>
          <w:tab w:val="clear" w:pos="4140"/>
        </w:tabs>
        <w:spacing w:before="100" w:beforeAutospacing="1" w:after="100" w:afterAutospacing="1"/>
        <w:ind w:left="993"/>
        <w:jc w:val="both"/>
        <w:rPr>
          <w:rFonts w:ascii="Arial" w:hAnsi="Arial" w:cs="Arial"/>
          <w:sz w:val="26"/>
          <w:szCs w:val="26"/>
        </w:rPr>
      </w:pPr>
      <w:r w:rsidRPr="00D56633">
        <w:rPr>
          <w:rFonts w:ascii="Arial" w:hAnsi="Arial" w:cs="Arial"/>
          <w:sz w:val="26"/>
          <w:szCs w:val="26"/>
        </w:rPr>
        <w:t>Il est interdit d'abandonner des reliefs d'aliments.</w:t>
      </w:r>
    </w:p>
    <w:p w:rsidR="00D56633" w:rsidRPr="00D56633" w:rsidRDefault="00D56633" w:rsidP="00574467">
      <w:pPr>
        <w:numPr>
          <w:ilvl w:val="0"/>
          <w:numId w:val="1"/>
        </w:numPr>
        <w:tabs>
          <w:tab w:val="clear" w:pos="4140"/>
        </w:tabs>
        <w:spacing w:before="100" w:beforeAutospacing="1" w:after="100" w:afterAutospacing="1"/>
        <w:ind w:left="993"/>
        <w:jc w:val="both"/>
        <w:rPr>
          <w:rFonts w:ascii="Arial" w:hAnsi="Arial" w:cs="Arial"/>
          <w:sz w:val="26"/>
          <w:szCs w:val="26"/>
        </w:rPr>
      </w:pPr>
      <w:r w:rsidRPr="00D56633">
        <w:rPr>
          <w:rFonts w:ascii="Arial" w:hAnsi="Arial" w:cs="Arial"/>
          <w:sz w:val="26"/>
          <w:szCs w:val="26"/>
        </w:rPr>
        <w:t>Il est interdit de courir sur les plages et de plonger en dehors des zones réservées à cet effet.</w:t>
      </w:r>
      <w:bookmarkStart w:id="0" w:name="_GoBack"/>
      <w:bookmarkEnd w:id="0"/>
    </w:p>
    <w:p w:rsidR="00D56633" w:rsidRPr="00D56633" w:rsidRDefault="00D56633" w:rsidP="00574467">
      <w:pPr>
        <w:numPr>
          <w:ilvl w:val="0"/>
          <w:numId w:val="1"/>
        </w:numPr>
        <w:tabs>
          <w:tab w:val="clear" w:pos="4140"/>
        </w:tabs>
        <w:spacing w:before="100" w:beforeAutospacing="1" w:after="100" w:afterAutospacing="1"/>
        <w:ind w:left="993"/>
        <w:jc w:val="both"/>
        <w:rPr>
          <w:rFonts w:ascii="Arial" w:hAnsi="Arial" w:cs="Arial"/>
          <w:sz w:val="26"/>
          <w:szCs w:val="26"/>
        </w:rPr>
      </w:pPr>
      <w:r w:rsidRPr="00D56633">
        <w:rPr>
          <w:rFonts w:ascii="Arial" w:hAnsi="Arial" w:cs="Arial"/>
          <w:sz w:val="26"/>
          <w:szCs w:val="26"/>
        </w:rPr>
        <w:t>L'accès aux zones réservées aux baigneurs est interdit aux porteurs de lésions cutanées suspectes, non munis d'un certificat de non-contagion.</w:t>
      </w:r>
    </w:p>
    <w:p w:rsidR="00D56633" w:rsidRPr="00D56633" w:rsidRDefault="00D56633" w:rsidP="00574467">
      <w:pPr>
        <w:numPr>
          <w:ilvl w:val="0"/>
          <w:numId w:val="1"/>
        </w:numPr>
        <w:tabs>
          <w:tab w:val="clear" w:pos="4140"/>
        </w:tabs>
        <w:spacing w:before="100" w:beforeAutospacing="1" w:after="100" w:afterAutospacing="1"/>
        <w:ind w:left="993"/>
        <w:jc w:val="both"/>
        <w:rPr>
          <w:rFonts w:ascii="Arial" w:hAnsi="Arial" w:cs="Arial"/>
          <w:sz w:val="26"/>
          <w:szCs w:val="26"/>
        </w:rPr>
      </w:pPr>
      <w:r w:rsidRPr="00D56633">
        <w:rPr>
          <w:rFonts w:ascii="Arial" w:hAnsi="Arial" w:cs="Arial"/>
          <w:sz w:val="26"/>
          <w:szCs w:val="26"/>
        </w:rPr>
        <w:t>Il est déconseillé la baignade et l’accès aux plages aux personnes vulnérables et aux personnes manifestant des symptômes tels que diarrhées, d’une part pour ne pas aggraver l’état de leur santé et, d’autre part, pour éviter la transmission d’infections aux autres baigneurs.</w:t>
      </w:r>
    </w:p>
    <w:p w:rsidR="00D56633" w:rsidRPr="00D56633" w:rsidRDefault="00D56633" w:rsidP="00574467">
      <w:pPr>
        <w:jc w:val="both"/>
        <w:rPr>
          <w:rFonts w:ascii="Arial" w:hAnsi="Arial" w:cs="Arial"/>
          <w:sz w:val="26"/>
          <w:szCs w:val="26"/>
        </w:rPr>
      </w:pPr>
    </w:p>
    <w:p w:rsidR="00D56633" w:rsidRPr="00D56633" w:rsidRDefault="00D56633" w:rsidP="00574467">
      <w:pPr>
        <w:jc w:val="both"/>
        <w:rPr>
          <w:rFonts w:ascii="Arial" w:hAnsi="Arial" w:cs="Arial"/>
          <w:sz w:val="26"/>
          <w:szCs w:val="26"/>
        </w:rPr>
      </w:pPr>
    </w:p>
    <w:p w:rsidR="00D56633" w:rsidRPr="00D56633" w:rsidRDefault="00D56633" w:rsidP="00574467">
      <w:pPr>
        <w:jc w:val="center"/>
        <w:rPr>
          <w:rFonts w:ascii="Arial" w:hAnsi="Arial" w:cs="Arial"/>
          <w:i/>
          <w:sz w:val="26"/>
          <w:szCs w:val="26"/>
        </w:rPr>
      </w:pPr>
      <w:r w:rsidRPr="00D56633">
        <w:rPr>
          <w:rFonts w:ascii="Arial" w:hAnsi="Arial" w:cs="Arial"/>
          <w:i/>
          <w:sz w:val="26"/>
          <w:szCs w:val="26"/>
        </w:rPr>
        <w:t>Pour les bains à remous (Spas, jacuzzis, etc.), l’exploitant procède à l’information complémentaire suivante :</w:t>
      </w:r>
    </w:p>
    <w:p w:rsidR="00D56633" w:rsidRPr="00D56633" w:rsidRDefault="00D56633" w:rsidP="00574467">
      <w:pPr>
        <w:jc w:val="both"/>
        <w:rPr>
          <w:rFonts w:ascii="Arial" w:hAnsi="Arial" w:cs="Arial"/>
          <w:i/>
          <w:sz w:val="26"/>
          <w:szCs w:val="26"/>
        </w:rPr>
      </w:pPr>
    </w:p>
    <w:p w:rsidR="00D56633" w:rsidRPr="00D56633" w:rsidRDefault="00D56633" w:rsidP="00574467">
      <w:pPr>
        <w:numPr>
          <w:ilvl w:val="0"/>
          <w:numId w:val="1"/>
        </w:numPr>
        <w:tabs>
          <w:tab w:val="clear" w:pos="4140"/>
        </w:tabs>
        <w:spacing w:before="100" w:beforeAutospacing="1" w:after="100" w:afterAutospacing="1"/>
        <w:ind w:left="993"/>
        <w:jc w:val="both"/>
        <w:rPr>
          <w:rFonts w:ascii="Arial" w:hAnsi="Arial" w:cs="Arial"/>
          <w:sz w:val="26"/>
          <w:szCs w:val="26"/>
        </w:rPr>
      </w:pPr>
      <w:r w:rsidRPr="00D56633">
        <w:rPr>
          <w:rFonts w:ascii="Arial" w:hAnsi="Arial" w:cs="Arial"/>
          <w:sz w:val="26"/>
          <w:szCs w:val="26"/>
        </w:rPr>
        <w:t>Il est conseillé de limiter la baignade à 15 minutes et de différer celle-ci en cas de forte affluence.</w:t>
      </w:r>
    </w:p>
    <w:p w:rsidR="00D56633" w:rsidRDefault="00D56633" w:rsidP="00574467">
      <w:pPr>
        <w:jc w:val="both"/>
        <w:rPr>
          <w:rFonts w:ascii="Arial" w:hAnsi="Arial" w:cs="Arial"/>
          <w:sz w:val="28"/>
          <w:szCs w:val="28"/>
        </w:rPr>
      </w:pPr>
    </w:p>
    <w:p w:rsidR="008768BC" w:rsidRDefault="008768BC"/>
    <w:sectPr w:rsidR="008768BC" w:rsidSect="00D566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A2395"/>
    <w:multiLevelType w:val="hybridMultilevel"/>
    <w:tmpl w:val="7B3C4254"/>
    <w:lvl w:ilvl="0" w:tplc="8BC0E3D6">
      <w:start w:val="1"/>
      <w:numFmt w:val="bullet"/>
      <w:lvlText w:val=""/>
      <w:lvlJc w:val="left"/>
      <w:pPr>
        <w:tabs>
          <w:tab w:val="num" w:pos="4140"/>
        </w:tabs>
        <w:ind w:left="414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33"/>
    <w:rsid w:val="00574467"/>
    <w:rsid w:val="008768BC"/>
    <w:rsid w:val="00D566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Cs w:val="22"/>
        <w:lang w:val="fr-FR"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33"/>
    <w:pPr>
      <w:spacing w:after="0" w:line="240" w:lineRule="auto"/>
    </w:pPr>
    <w:rPr>
      <w:rFonts w:ascii="Times New Roman" w:eastAsia="Times New Roman" w:hAnsi="Times New Roman" w:cs="Times New Roman"/>
      <w:szCs w:val="20"/>
      <w:lang w:eastAsia="fr-FR"/>
    </w:rPr>
  </w:style>
  <w:style w:type="paragraph" w:styleId="Titre1">
    <w:name w:val="heading 1"/>
    <w:basedOn w:val="Normal"/>
    <w:next w:val="Normal"/>
    <w:link w:val="Titre1Car"/>
    <w:qFormat/>
    <w:rsid w:val="00D56633"/>
    <w:pPr>
      <w:keepNext/>
      <w:jc w:val="center"/>
      <w:outlineLvl w:val="0"/>
    </w:pPr>
    <w:rPr>
      <w:rFonts w:ascii="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56633"/>
    <w:rPr>
      <w:rFonts w:ascii="Arial" w:eastAsia="Times New Roman" w:hAnsi="Arial" w:cs="Arial"/>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Cs w:val="22"/>
        <w:lang w:val="fr-FR"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33"/>
    <w:pPr>
      <w:spacing w:after="0" w:line="240" w:lineRule="auto"/>
    </w:pPr>
    <w:rPr>
      <w:rFonts w:ascii="Times New Roman" w:eastAsia="Times New Roman" w:hAnsi="Times New Roman" w:cs="Times New Roman"/>
      <w:szCs w:val="20"/>
      <w:lang w:eastAsia="fr-FR"/>
    </w:rPr>
  </w:style>
  <w:style w:type="paragraph" w:styleId="Titre1">
    <w:name w:val="heading 1"/>
    <w:basedOn w:val="Normal"/>
    <w:next w:val="Normal"/>
    <w:link w:val="Titre1Car"/>
    <w:qFormat/>
    <w:rsid w:val="00D56633"/>
    <w:pPr>
      <w:keepNext/>
      <w:jc w:val="center"/>
      <w:outlineLvl w:val="0"/>
    </w:pPr>
    <w:rPr>
      <w:rFonts w:ascii="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56633"/>
    <w:rPr>
      <w:rFonts w:ascii="Arial" w:eastAsia="Times New Roman" w:hAnsi="Arial" w:cs="Arial"/>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ifrance.gouv.fr/affichCodeArticle.do?cidTexte=LEGITEXT000006071318&amp;idArticle=LEGIARTI000018752275&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289</Words>
  <Characters>1591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abarathon</dc:creator>
  <cp:lastModifiedBy>abarathon</cp:lastModifiedBy>
  <cp:revision>1</cp:revision>
  <dcterms:created xsi:type="dcterms:W3CDTF">2019-05-09T06:39:00Z</dcterms:created>
  <dcterms:modified xsi:type="dcterms:W3CDTF">2019-05-09T06:45:00Z</dcterms:modified>
</cp:coreProperties>
</file>